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359" w:rsidRDefault="00C85359" w:rsidP="006C3E74">
      <w:pPr>
        <w:widowControl w:val="0"/>
        <w:spacing w:line="360" w:lineRule="auto"/>
        <w:ind w:right="-164"/>
        <w:jc w:val="both"/>
        <w:rPr>
          <w:rFonts w:ascii="Palatino Linotype" w:eastAsia="Calibri" w:hAnsi="Palatino Linotype" w:cs="Arial"/>
          <w:b/>
          <w:color w:val="000000"/>
        </w:rPr>
      </w:pPr>
      <w:r w:rsidRPr="00734602">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MUNICIPIOS, EN LA TERCERA SESIÓN ORDINARIA DEL VEINTITRÉS DE ENERO DE DOS MIL DIECINUEVE, EN EL RECURSO DE REVISIÓN 04145/INFOEM/IP/RR/2018</w:t>
      </w:r>
      <w:r w:rsidRPr="00734602">
        <w:rPr>
          <w:rFonts w:ascii="Palatino Linotype" w:eastAsia="Calibri" w:hAnsi="Palatino Linotype" w:cs="Arial"/>
          <w:b/>
          <w:color w:val="000000"/>
        </w:rPr>
        <w:t>.</w:t>
      </w:r>
    </w:p>
    <w:p w:rsidR="006C3E74" w:rsidRPr="00734602" w:rsidRDefault="006C3E74" w:rsidP="006C3E74">
      <w:pPr>
        <w:widowControl w:val="0"/>
        <w:spacing w:line="360" w:lineRule="auto"/>
        <w:ind w:right="-164"/>
        <w:jc w:val="both"/>
        <w:rPr>
          <w:rFonts w:ascii="Palatino Linotype" w:eastAsia="Calibri" w:hAnsi="Palatino Linotype" w:cs="Arial"/>
          <w:b/>
          <w:color w:val="000000"/>
        </w:rPr>
      </w:pPr>
    </w:p>
    <w:p w:rsidR="00C85359" w:rsidRDefault="00C85359" w:rsidP="006C3E74">
      <w:pPr>
        <w:spacing w:line="360" w:lineRule="auto"/>
        <w:jc w:val="both"/>
        <w:rPr>
          <w:rFonts w:ascii="Palatino Linotype" w:hAnsi="Palatino Linotype" w:cs="Arial"/>
        </w:rPr>
      </w:pPr>
      <w:r w:rsidRPr="00734602">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34602">
        <w:rPr>
          <w:rFonts w:ascii="Palatino Linotype" w:hAnsi="Palatino Linotype" w:cs="Arial"/>
          <w:b/>
          <w:lang w:val="es-ES_tradnl"/>
        </w:rPr>
        <w:t xml:space="preserve"> </w:t>
      </w:r>
      <w:r w:rsidRPr="00734602">
        <w:rPr>
          <w:rFonts w:ascii="Palatino Linotype" w:hAnsi="Palatino Linotype" w:cs="Arial"/>
          <w:b/>
        </w:rPr>
        <w:t xml:space="preserve">EVA ABAID YAPUR </w:t>
      </w:r>
      <w:r w:rsidRPr="00734602">
        <w:rPr>
          <w:rFonts w:ascii="Palatino Linotype" w:hAnsi="Palatino Linotype" w:cs="Arial"/>
        </w:rPr>
        <w:t xml:space="preserve">emite </w:t>
      </w:r>
      <w:r w:rsidRPr="00734602">
        <w:rPr>
          <w:rFonts w:ascii="Palatino Linotype" w:hAnsi="Palatino Linotype" w:cs="Arial"/>
          <w:b/>
        </w:rPr>
        <w:t xml:space="preserve">VOTO PARTICULAR </w:t>
      </w:r>
      <w:r w:rsidRPr="00734602">
        <w:rPr>
          <w:rFonts w:ascii="Palatino Linotype" w:hAnsi="Palatino Linotype" w:cs="Arial"/>
        </w:rPr>
        <w:t xml:space="preserve">respecto de la resolución dictada en el recurso de revisión </w:t>
      </w:r>
      <w:r w:rsidRPr="00734602">
        <w:rPr>
          <w:rFonts w:ascii="Palatino Linotype" w:eastAsia="Calibri" w:hAnsi="Palatino Linotype" w:cs="Arial"/>
          <w:b/>
          <w:color w:val="000000"/>
        </w:rPr>
        <w:t>04145/INFOEM/IP/RR/2018</w:t>
      </w:r>
      <w:r w:rsidRPr="00734602">
        <w:rPr>
          <w:rFonts w:ascii="Palatino Linotype" w:hAnsi="Palatino Linotype" w:cs="Arial"/>
        </w:rPr>
        <w:t xml:space="preserve">, pronunciada por el Pleno de este Instituto ante el proyecto presentado por la Comisionada Presidenta </w:t>
      </w:r>
      <w:r w:rsidRPr="00734602">
        <w:rPr>
          <w:rFonts w:ascii="Palatino Linotype" w:hAnsi="Palatino Linotype" w:cs="Arial"/>
          <w:b/>
        </w:rPr>
        <w:t>ZULEMA MARTÍNEZ SÁNCHEZ</w:t>
      </w:r>
      <w:r w:rsidRPr="00734602">
        <w:rPr>
          <w:rFonts w:ascii="Palatino Linotype" w:hAnsi="Palatino Linotype" w:cs="Arial"/>
        </w:rPr>
        <w:t>, que es del tenor siguiente.</w:t>
      </w:r>
    </w:p>
    <w:p w:rsidR="006C3E74" w:rsidRPr="00734602" w:rsidRDefault="006C3E74" w:rsidP="006C3E74">
      <w:pPr>
        <w:spacing w:line="360" w:lineRule="auto"/>
        <w:jc w:val="both"/>
        <w:rPr>
          <w:rFonts w:ascii="Palatino Linotype" w:hAnsi="Palatino Linotype" w:cs="Arial"/>
        </w:rPr>
      </w:pPr>
    </w:p>
    <w:p w:rsidR="00C85359" w:rsidRDefault="00C85359" w:rsidP="006C3E74">
      <w:pPr>
        <w:spacing w:line="360" w:lineRule="auto"/>
        <w:jc w:val="both"/>
        <w:rPr>
          <w:rFonts w:ascii="Palatino Linotype" w:hAnsi="Palatino Linotype"/>
        </w:rPr>
      </w:pPr>
      <w:r w:rsidRPr="00734602">
        <w:rPr>
          <w:rFonts w:ascii="Palatino Linotype" w:hAnsi="Palatino Linotype"/>
        </w:rPr>
        <w:t>Es de destacar, que la suscrita comparte las causas que dieron origen al recurso de revisión; empero, resulta necesario precisar algunas consideraciones de hecho y de derecho, tocante a la información que se ordena entregar.</w:t>
      </w:r>
    </w:p>
    <w:p w:rsidR="006C3E74" w:rsidRPr="00734602" w:rsidRDefault="006C3E74" w:rsidP="006C3E74">
      <w:pPr>
        <w:spacing w:line="360" w:lineRule="auto"/>
        <w:jc w:val="both"/>
        <w:rPr>
          <w:rFonts w:ascii="Palatino Linotype" w:hAnsi="Palatino Linotype"/>
        </w:rPr>
      </w:pPr>
    </w:p>
    <w:p w:rsidR="00C85359" w:rsidRDefault="00C85359" w:rsidP="006C3E74">
      <w:pPr>
        <w:spacing w:line="360" w:lineRule="auto"/>
        <w:jc w:val="both"/>
        <w:rPr>
          <w:rFonts w:ascii="Palatino Linotype" w:hAnsi="Palatino Linotype"/>
        </w:rPr>
      </w:pPr>
      <w:r w:rsidRPr="00734602">
        <w:rPr>
          <w:rFonts w:ascii="Palatino Linotype" w:hAnsi="Palatino Linotype"/>
        </w:rPr>
        <w:t xml:space="preserve">Al respecto, tal y como quedó debidamente asentado en la resolución materia del presente voto, el particular solicitó  a la </w:t>
      </w:r>
      <w:r w:rsidRPr="00734602">
        <w:rPr>
          <w:rFonts w:ascii="Palatino Linotype" w:hAnsi="Palatino Linotype" w:cs="Arial"/>
          <w:b/>
        </w:rPr>
        <w:t xml:space="preserve">Universidad Politécnica del Valle de Toluca, </w:t>
      </w:r>
      <w:r w:rsidRPr="00734602">
        <w:rPr>
          <w:rFonts w:ascii="Palatino Linotype" w:hAnsi="Palatino Linotype" w:cs="Arial"/>
        </w:rPr>
        <w:t xml:space="preserve">en lo sucesivo </w:t>
      </w:r>
      <w:r w:rsidRPr="00734602">
        <w:rPr>
          <w:rFonts w:ascii="Palatino Linotype" w:hAnsi="Palatino Linotype" w:cs="Arial"/>
          <w:b/>
        </w:rPr>
        <w:t>EL</w:t>
      </w:r>
      <w:r w:rsidRPr="00734602">
        <w:rPr>
          <w:rFonts w:ascii="Palatino Linotype" w:hAnsi="Palatino Linotype" w:cs="Arial"/>
        </w:rPr>
        <w:t xml:space="preserve"> </w:t>
      </w:r>
      <w:r w:rsidRPr="00734602">
        <w:rPr>
          <w:rFonts w:ascii="Palatino Linotype" w:hAnsi="Palatino Linotype"/>
          <w:b/>
        </w:rPr>
        <w:t>SUJETO OBLIGADO,</w:t>
      </w:r>
      <w:r w:rsidRPr="00734602">
        <w:rPr>
          <w:rFonts w:ascii="Palatino Linotype" w:hAnsi="Palatino Linotype"/>
        </w:rPr>
        <w:t xml:space="preserve"> el histórico de las actualizaciones de la página </w:t>
      </w:r>
      <w:r w:rsidRPr="00734602">
        <w:rPr>
          <w:rFonts w:ascii="Palatino Linotype" w:hAnsi="Palatino Linotype"/>
        </w:rPr>
        <w:lastRenderedPageBreak/>
        <w:t>institucional, así como, del Portal de Información Pública de Oficio Mexiquense (IPO</w:t>
      </w:r>
      <w:r w:rsidR="00ED216B">
        <w:rPr>
          <w:rFonts w:ascii="Palatino Linotype" w:hAnsi="Palatino Linotype"/>
        </w:rPr>
        <w:t>MEX), requiriendo se le indicara</w:t>
      </w:r>
      <w:r w:rsidRPr="00734602">
        <w:rPr>
          <w:rFonts w:ascii="Palatino Linotype" w:hAnsi="Palatino Linotype"/>
        </w:rPr>
        <w:t xml:space="preserve"> el motivo por el cual se habían realizado dichas actualizaciones. </w:t>
      </w:r>
    </w:p>
    <w:p w:rsidR="006C3E74" w:rsidRPr="00734602" w:rsidRDefault="006C3E74" w:rsidP="006C3E74">
      <w:pPr>
        <w:spacing w:line="360" w:lineRule="auto"/>
        <w:jc w:val="both"/>
        <w:rPr>
          <w:rFonts w:ascii="Palatino Linotype" w:hAnsi="Palatino Linotype"/>
        </w:rPr>
      </w:pPr>
    </w:p>
    <w:p w:rsidR="00C85359" w:rsidRDefault="00C85359" w:rsidP="006C3E74">
      <w:pPr>
        <w:spacing w:line="360" w:lineRule="auto"/>
        <w:jc w:val="both"/>
        <w:rPr>
          <w:rFonts w:ascii="Palatino Linotype" w:hAnsi="Palatino Linotype"/>
        </w:rPr>
      </w:pPr>
      <w:r w:rsidRPr="00734602">
        <w:rPr>
          <w:rFonts w:ascii="Palatino Linotype" w:hAnsi="Palatino Linotype" w:cs="Arial"/>
        </w:rPr>
        <w:t xml:space="preserve">En respuesta a la solicitud, </w:t>
      </w:r>
      <w:r w:rsidRPr="00734602">
        <w:rPr>
          <w:rFonts w:ascii="Palatino Linotype" w:hAnsi="Palatino Linotype" w:cs="Arial"/>
          <w:b/>
        </w:rPr>
        <w:t xml:space="preserve">EL SUJETO OBLIGADO </w:t>
      </w:r>
      <w:r w:rsidRPr="00734602">
        <w:rPr>
          <w:rFonts w:ascii="Palatino Linotype" w:hAnsi="Palatino Linotype" w:cs="Arial"/>
        </w:rPr>
        <w:t>manifestó que después de una búsqueda exhaustiva y razonable de la información en los archivo</w:t>
      </w:r>
      <w:r w:rsidR="00383A3C" w:rsidRPr="00734602">
        <w:rPr>
          <w:rFonts w:ascii="Palatino Linotype" w:hAnsi="Palatino Linotype" w:cs="Arial"/>
        </w:rPr>
        <w:t>s de la Unidad de Transparencia y de conformidad con el artículo 77 de la Ley de la materia</w:t>
      </w:r>
      <w:r w:rsidR="00383A3C" w:rsidRPr="00734602">
        <w:rPr>
          <w:rStyle w:val="Refdenotaalpie"/>
          <w:rFonts w:ascii="Palatino Linotype" w:hAnsi="Palatino Linotype" w:cs="Arial"/>
        </w:rPr>
        <w:footnoteReference w:id="1"/>
      </w:r>
      <w:r w:rsidR="00383A3C" w:rsidRPr="00734602">
        <w:rPr>
          <w:rFonts w:ascii="Palatino Linotype" w:hAnsi="Palatino Linotype" w:cs="Arial"/>
        </w:rPr>
        <w:t xml:space="preserve">, la información correspondiente a las </w:t>
      </w:r>
      <w:r w:rsidR="00383A3C" w:rsidRPr="00734602">
        <w:rPr>
          <w:rFonts w:ascii="Palatino Linotype" w:hAnsi="Palatino Linotype"/>
        </w:rPr>
        <w:t>obligaciones de transparencia deberá de actualizarse por lo menos cada tres meses.</w:t>
      </w:r>
    </w:p>
    <w:p w:rsidR="006C3E74" w:rsidRPr="00734602" w:rsidRDefault="006C3E74" w:rsidP="006C3E74">
      <w:pPr>
        <w:spacing w:line="360" w:lineRule="auto"/>
        <w:jc w:val="both"/>
        <w:rPr>
          <w:rFonts w:ascii="Palatino Linotype" w:hAnsi="Palatino Linotype" w:cs="Arial"/>
        </w:rPr>
      </w:pPr>
    </w:p>
    <w:p w:rsidR="00ED31DB" w:rsidRDefault="00C85359" w:rsidP="006C3E74">
      <w:pPr>
        <w:spacing w:line="360" w:lineRule="auto"/>
        <w:jc w:val="both"/>
        <w:rPr>
          <w:rFonts w:ascii="Palatino Linotype" w:hAnsi="Palatino Linotype" w:cs="Arial"/>
        </w:rPr>
      </w:pPr>
      <w:r w:rsidRPr="00734602">
        <w:rPr>
          <w:rFonts w:ascii="Palatino Linotype" w:hAnsi="Palatino Linotype" w:cs="Arial"/>
        </w:rPr>
        <w:t xml:space="preserve">Inconforme con la respuesta, </w:t>
      </w:r>
      <w:r w:rsidR="00ED31DB" w:rsidRPr="00734602">
        <w:rPr>
          <w:rFonts w:ascii="Palatino Linotype" w:hAnsi="Palatino Linotype" w:cs="Arial"/>
          <w:b/>
        </w:rPr>
        <w:t>EL</w:t>
      </w:r>
      <w:r w:rsidRPr="00734602">
        <w:rPr>
          <w:rFonts w:ascii="Palatino Linotype" w:hAnsi="Palatino Linotype" w:cs="Arial"/>
          <w:b/>
        </w:rPr>
        <w:t xml:space="preserve"> RECURRENTE</w:t>
      </w:r>
      <w:r w:rsidRPr="00734602">
        <w:rPr>
          <w:rFonts w:ascii="Palatino Linotype" w:hAnsi="Palatino Linotype" w:cs="Arial"/>
        </w:rPr>
        <w:t xml:space="preserve"> interpuso el recurso de revis</w:t>
      </w:r>
      <w:r w:rsidR="00ED31DB" w:rsidRPr="00734602">
        <w:rPr>
          <w:rFonts w:ascii="Palatino Linotype" w:hAnsi="Palatino Linotype" w:cs="Arial"/>
        </w:rPr>
        <w:t>ión de mérito, argumentando que se le negaba la información solicitada.</w:t>
      </w:r>
    </w:p>
    <w:p w:rsidR="006C3E74" w:rsidRPr="00734602" w:rsidRDefault="006C3E74" w:rsidP="006C3E74">
      <w:pPr>
        <w:spacing w:line="360" w:lineRule="auto"/>
        <w:jc w:val="both"/>
        <w:rPr>
          <w:rFonts w:ascii="Palatino Linotype" w:hAnsi="Palatino Linotype" w:cs="Arial"/>
        </w:rPr>
      </w:pPr>
    </w:p>
    <w:p w:rsidR="00ED31DB" w:rsidRDefault="00ED31DB" w:rsidP="006C3E74">
      <w:pPr>
        <w:spacing w:line="360" w:lineRule="auto"/>
        <w:jc w:val="both"/>
        <w:rPr>
          <w:rFonts w:ascii="Palatino Linotype" w:hAnsi="Palatino Linotype" w:cs="Arial"/>
        </w:rPr>
      </w:pPr>
      <w:r w:rsidRPr="00734602">
        <w:rPr>
          <w:rFonts w:ascii="Palatino Linotype" w:hAnsi="Palatino Linotype" w:cs="Arial"/>
        </w:rPr>
        <w:t xml:space="preserve">Bajo ese tenor, </w:t>
      </w:r>
      <w:r w:rsidRPr="00734602">
        <w:rPr>
          <w:rFonts w:ascii="Palatino Linotype" w:hAnsi="Palatino Linotype" w:cs="Arial"/>
          <w:b/>
        </w:rPr>
        <w:t xml:space="preserve">EL SUJETO OBLIGADO </w:t>
      </w:r>
      <w:r w:rsidRPr="00734602">
        <w:rPr>
          <w:rFonts w:ascii="Palatino Linotype" w:hAnsi="Palatino Linotype" w:cs="Arial"/>
        </w:rPr>
        <w:t>mediante Informe Justificado ratificó su respuesta.</w:t>
      </w:r>
    </w:p>
    <w:p w:rsidR="006C3E74" w:rsidRPr="00734602" w:rsidRDefault="006C3E74" w:rsidP="006C3E74">
      <w:pPr>
        <w:spacing w:line="360" w:lineRule="auto"/>
        <w:jc w:val="both"/>
        <w:rPr>
          <w:rFonts w:ascii="Palatino Linotype" w:hAnsi="Palatino Linotype" w:cs="Arial"/>
        </w:rPr>
      </w:pPr>
    </w:p>
    <w:p w:rsidR="00ED31DB" w:rsidRPr="00734602" w:rsidRDefault="00C85359" w:rsidP="006C3E74">
      <w:pPr>
        <w:spacing w:line="360" w:lineRule="auto"/>
        <w:jc w:val="both"/>
        <w:rPr>
          <w:rFonts w:ascii="Palatino Linotype" w:hAnsi="Palatino Linotype" w:cs="Arial"/>
        </w:rPr>
      </w:pPr>
      <w:r w:rsidRPr="00734602">
        <w:rPr>
          <w:rFonts w:ascii="Palatino Linotype" w:hAnsi="Palatino Linotype" w:cs="Arial"/>
        </w:rPr>
        <w:t>Así, del estudio d</w:t>
      </w:r>
      <w:r w:rsidRPr="00734602">
        <w:rPr>
          <w:rFonts w:ascii="Palatino Linotype" w:hAnsi="Palatino Linotype"/>
        </w:rPr>
        <w:t xml:space="preserve">el expediente electrónico del </w:t>
      </w:r>
      <w:r w:rsidRPr="00734602">
        <w:rPr>
          <w:rFonts w:ascii="Palatino Linotype" w:hAnsi="Palatino Linotype"/>
          <w:b/>
        </w:rPr>
        <w:t>SAIMEX</w:t>
      </w:r>
      <w:r w:rsidRPr="00734602">
        <w:rPr>
          <w:rFonts w:ascii="Palatino Linotype" w:hAnsi="Palatino Linotype" w:cs="Arial"/>
        </w:rPr>
        <w:t xml:space="preserve">, la Ponencia Resolutora determinó </w:t>
      </w:r>
      <w:r w:rsidR="00ED31DB" w:rsidRPr="00734602">
        <w:rPr>
          <w:rFonts w:ascii="Palatino Linotype" w:hAnsi="Palatino Linotype" w:cs="Arial"/>
          <w:b/>
        </w:rPr>
        <w:t>MODIFI</w:t>
      </w:r>
      <w:r w:rsidRPr="00734602">
        <w:rPr>
          <w:rFonts w:ascii="Palatino Linotype" w:hAnsi="Palatino Linotype" w:cs="Arial"/>
          <w:b/>
        </w:rPr>
        <w:t xml:space="preserve">CAR </w:t>
      </w:r>
      <w:r w:rsidRPr="00734602">
        <w:rPr>
          <w:rFonts w:ascii="Palatino Linotype" w:hAnsi="Palatino Linotype" w:cs="Arial"/>
        </w:rPr>
        <w:t xml:space="preserve">la respuesta del </w:t>
      </w:r>
      <w:r w:rsidRPr="00734602">
        <w:rPr>
          <w:rFonts w:ascii="Palatino Linotype" w:hAnsi="Palatino Linotype" w:cs="Arial"/>
          <w:b/>
        </w:rPr>
        <w:t>SUJETO OBLIGADO</w:t>
      </w:r>
      <w:r w:rsidRPr="00734602">
        <w:rPr>
          <w:rFonts w:ascii="Palatino Linotype" w:hAnsi="Palatino Linotype" w:cs="Arial"/>
        </w:rPr>
        <w:t xml:space="preserve"> ordenándole</w:t>
      </w:r>
      <w:r w:rsidR="00ED31DB" w:rsidRPr="00734602">
        <w:rPr>
          <w:rFonts w:ascii="Palatino Linotype" w:hAnsi="Palatino Linotype" w:cs="Arial"/>
        </w:rPr>
        <w:t xml:space="preserve"> la entrega vía SAIMEX, </w:t>
      </w:r>
      <w:r w:rsidR="00CF17F7" w:rsidRPr="00734602">
        <w:rPr>
          <w:rFonts w:ascii="Palatino Linotype" w:hAnsi="Palatino Linotype" w:cs="Arial"/>
        </w:rPr>
        <w:t>de lo siguiente:</w:t>
      </w:r>
    </w:p>
    <w:p w:rsidR="00ED31DB" w:rsidRDefault="00ED31DB" w:rsidP="006C3E74">
      <w:pPr>
        <w:pStyle w:val="Prrafodelista"/>
        <w:numPr>
          <w:ilvl w:val="0"/>
          <w:numId w:val="3"/>
        </w:numPr>
        <w:autoSpaceDE w:val="0"/>
        <w:autoSpaceDN w:val="0"/>
        <w:adjustRightInd w:val="0"/>
        <w:ind w:left="1134" w:right="850"/>
        <w:contextualSpacing w:val="0"/>
        <w:jc w:val="both"/>
        <w:rPr>
          <w:rFonts w:ascii="Palatino Linotype" w:hAnsi="Palatino Linotype" w:cs="Arial"/>
          <w:i/>
          <w:sz w:val="22"/>
          <w:szCs w:val="22"/>
        </w:rPr>
      </w:pPr>
      <w:r w:rsidRPr="00734602">
        <w:rPr>
          <w:rFonts w:ascii="Palatino Linotype" w:hAnsi="Palatino Linotype" w:cs="Arial"/>
          <w:i/>
          <w:sz w:val="22"/>
          <w:szCs w:val="22"/>
        </w:rPr>
        <w:lastRenderedPageBreak/>
        <w:t xml:space="preserve">El documento o documentos en donde </w:t>
      </w:r>
      <w:r w:rsidRPr="00734602">
        <w:rPr>
          <w:rFonts w:ascii="Palatino Linotype" w:hAnsi="Palatino Linotype" w:cs="Arial"/>
          <w:b/>
          <w:i/>
          <w:sz w:val="22"/>
          <w:szCs w:val="22"/>
        </w:rPr>
        <w:t>consten los motivos por los cuales se actualiza la Página Institucional e IPOMEX,</w:t>
      </w:r>
      <w:r w:rsidRPr="00734602">
        <w:rPr>
          <w:rFonts w:ascii="Palatino Linotype" w:hAnsi="Palatino Linotype" w:cs="Arial"/>
          <w:i/>
          <w:sz w:val="22"/>
          <w:szCs w:val="22"/>
        </w:rPr>
        <w:t xml:space="preserve"> a partir del dos de abril de dos mil trece a la fecha de la solicitud.</w:t>
      </w:r>
    </w:p>
    <w:p w:rsidR="006C3E74" w:rsidRDefault="006C3E74" w:rsidP="006C3E74">
      <w:pPr>
        <w:pStyle w:val="Prrafodelista"/>
        <w:autoSpaceDE w:val="0"/>
        <w:autoSpaceDN w:val="0"/>
        <w:adjustRightInd w:val="0"/>
        <w:ind w:left="1134" w:right="850"/>
        <w:contextualSpacing w:val="0"/>
        <w:jc w:val="both"/>
        <w:rPr>
          <w:rFonts w:ascii="Palatino Linotype" w:hAnsi="Palatino Linotype" w:cs="Arial"/>
          <w:i/>
          <w:sz w:val="22"/>
          <w:szCs w:val="22"/>
        </w:rPr>
      </w:pPr>
    </w:p>
    <w:p w:rsidR="00ED31DB" w:rsidRPr="00734602" w:rsidRDefault="00ED31DB" w:rsidP="006C3E74">
      <w:pPr>
        <w:pStyle w:val="Prrafodelista"/>
        <w:autoSpaceDE w:val="0"/>
        <w:autoSpaceDN w:val="0"/>
        <w:adjustRightInd w:val="0"/>
        <w:ind w:left="1134" w:right="850"/>
        <w:contextualSpacing w:val="0"/>
        <w:jc w:val="both"/>
        <w:rPr>
          <w:rFonts w:ascii="Palatino Linotype" w:hAnsi="Palatino Linotype" w:cs="Arial"/>
          <w:i/>
          <w:sz w:val="22"/>
          <w:szCs w:val="22"/>
        </w:rPr>
      </w:pPr>
      <w:r w:rsidRPr="00734602">
        <w:rPr>
          <w:rFonts w:ascii="Palatino Linotype" w:hAnsi="Palatino Linotype" w:cs="Arial"/>
          <w:i/>
          <w:sz w:val="22"/>
          <w:szCs w:val="22"/>
        </w:rPr>
        <w:t>En caso de no haber generado la información mencionada en el punto número uno del presente resolutivo, bastara con que así lo manifieste al momento de dar cumplimiento a la presente resolución.</w:t>
      </w:r>
    </w:p>
    <w:p w:rsidR="006C3E74" w:rsidRDefault="006C3E74" w:rsidP="006C3E74">
      <w:pPr>
        <w:autoSpaceDE w:val="0"/>
        <w:autoSpaceDN w:val="0"/>
        <w:adjustRightInd w:val="0"/>
        <w:spacing w:line="360" w:lineRule="auto"/>
        <w:jc w:val="both"/>
        <w:rPr>
          <w:rFonts w:ascii="Palatino Linotype" w:hAnsi="Palatino Linotype" w:cs="Arial"/>
          <w:lang w:val="es-MX"/>
        </w:rPr>
      </w:pPr>
    </w:p>
    <w:p w:rsidR="00CF17F7" w:rsidRDefault="00C85359" w:rsidP="006C3E74">
      <w:pPr>
        <w:autoSpaceDE w:val="0"/>
        <w:autoSpaceDN w:val="0"/>
        <w:adjustRightInd w:val="0"/>
        <w:spacing w:line="360" w:lineRule="auto"/>
        <w:jc w:val="both"/>
        <w:rPr>
          <w:rFonts w:ascii="Palatino Linotype" w:hAnsi="Palatino Linotype"/>
        </w:rPr>
      </w:pPr>
      <w:r w:rsidRPr="00734602">
        <w:rPr>
          <w:rFonts w:ascii="Palatino Linotype" w:hAnsi="Palatino Linotype" w:cs="Arial"/>
          <w:lang w:val="es-MX"/>
        </w:rPr>
        <w:t xml:space="preserve">En ese sentido se reitera que </w:t>
      </w:r>
      <w:r w:rsidRPr="00734602">
        <w:rPr>
          <w:rFonts w:ascii="Palatino Linotype" w:hAnsi="Palatino Linotype"/>
        </w:rPr>
        <w:t xml:space="preserve">la suscrita comparte esencialmente las causas que dieron origen al recurso de revisión; sin embargo, difiero respecto </w:t>
      </w:r>
      <w:r w:rsidR="00CF17F7" w:rsidRPr="00734602">
        <w:rPr>
          <w:rFonts w:ascii="Palatino Linotype" w:hAnsi="Palatino Linotype"/>
        </w:rPr>
        <w:t xml:space="preserve">a que se ordene al </w:t>
      </w:r>
      <w:r w:rsidR="00CF17F7" w:rsidRPr="00734602">
        <w:rPr>
          <w:rFonts w:ascii="Palatino Linotype" w:hAnsi="Palatino Linotype"/>
          <w:b/>
        </w:rPr>
        <w:t xml:space="preserve">SUJETO OBLIGADO </w:t>
      </w:r>
      <w:r w:rsidR="00CF17F7" w:rsidRPr="00734602">
        <w:rPr>
          <w:rFonts w:ascii="Palatino Linotype" w:hAnsi="Palatino Linotype"/>
        </w:rPr>
        <w:t>la entrega de un documento a modo en el que exprese los motivos por los cuales actualiza su página de IPOMEX.</w:t>
      </w:r>
    </w:p>
    <w:p w:rsidR="006C3E74" w:rsidRPr="00734602" w:rsidRDefault="006C3E74" w:rsidP="006C3E74">
      <w:pPr>
        <w:autoSpaceDE w:val="0"/>
        <w:autoSpaceDN w:val="0"/>
        <w:adjustRightInd w:val="0"/>
        <w:spacing w:line="360" w:lineRule="auto"/>
        <w:jc w:val="both"/>
        <w:rPr>
          <w:rFonts w:ascii="Palatino Linotype" w:hAnsi="Palatino Linotype"/>
        </w:rPr>
      </w:pPr>
    </w:p>
    <w:p w:rsidR="00C85359" w:rsidRDefault="00CF17F7"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rPr>
        <w:t xml:space="preserve">Lo anterior, es así debido a que el </w:t>
      </w:r>
      <w:r w:rsidR="00C85359" w:rsidRPr="00734602">
        <w:rPr>
          <w:rFonts w:ascii="Palatino Linotype" w:hAnsi="Palatino Linotype"/>
        </w:rPr>
        <w:t>ordenar la entrega de la información al grado de desagregación requerido en la solicitud de información planteada implicaría además de procesarla al interés de</w:t>
      </w:r>
      <w:r w:rsidRPr="00734602">
        <w:rPr>
          <w:rFonts w:ascii="Palatino Linotype" w:hAnsi="Palatino Linotype"/>
        </w:rPr>
        <w:t xml:space="preserve">l </w:t>
      </w:r>
      <w:r w:rsidR="00C85359" w:rsidRPr="00734602">
        <w:rPr>
          <w:rFonts w:ascii="Palatino Linotype" w:hAnsi="Palatino Linotype"/>
        </w:rPr>
        <w:t>particular,</w:t>
      </w:r>
      <w:r w:rsidRPr="00734602">
        <w:rPr>
          <w:rFonts w:ascii="Palatino Linotype" w:hAnsi="Palatino Linotype"/>
        </w:rPr>
        <w:t xml:space="preserve"> </w:t>
      </w:r>
      <w:r w:rsidR="00C85359" w:rsidRPr="00734602">
        <w:rPr>
          <w:rFonts w:ascii="Palatino Linotype" w:hAnsi="Palatino Linotype" w:cs="Arial"/>
          <w:lang w:val="es-MX"/>
        </w:rPr>
        <w:t>ya que se considera que parte de</w:t>
      </w:r>
      <w:r w:rsidRPr="00734602">
        <w:rPr>
          <w:rFonts w:ascii="Palatino Linotype" w:hAnsi="Palatino Linotype" w:cs="Arial"/>
          <w:lang w:val="es-MX"/>
        </w:rPr>
        <w:t xml:space="preserve"> lo requerido por el </w:t>
      </w:r>
      <w:r w:rsidR="00C85359" w:rsidRPr="00734602">
        <w:rPr>
          <w:rFonts w:ascii="Palatino Linotype" w:hAnsi="Palatino Linotype" w:cs="Arial"/>
          <w:lang w:val="es-MX"/>
        </w:rPr>
        <w:t xml:space="preserve">particular no corresponde a una solicitud de acceso a la información sino a un derecho de petición; </w:t>
      </w:r>
      <w:r w:rsidR="00C85359" w:rsidRPr="00734602">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rsidR="006C3E74" w:rsidRPr="00734602" w:rsidRDefault="006C3E74" w:rsidP="006C3E74">
      <w:pPr>
        <w:autoSpaceDE w:val="0"/>
        <w:autoSpaceDN w:val="0"/>
        <w:adjustRightInd w:val="0"/>
        <w:spacing w:line="360" w:lineRule="auto"/>
        <w:jc w:val="both"/>
        <w:rPr>
          <w:rFonts w:ascii="Palatino Linotype" w:hAnsi="Palatino Linotype" w:cs="Arial"/>
          <w:lang w:val="es-MX"/>
        </w:rPr>
      </w:pPr>
    </w:p>
    <w:p w:rsidR="00C85359" w:rsidRDefault="00C85359"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cs="Arial"/>
        </w:rPr>
        <w:t xml:space="preserve">Por lo que respecta a la definición de Derecho de Petición, el Maestro Ignacio Burgoa Orihuela refiere: </w:t>
      </w:r>
    </w:p>
    <w:p w:rsidR="006C3E74" w:rsidRPr="00734602" w:rsidRDefault="006C3E74" w:rsidP="006C3E74">
      <w:pPr>
        <w:autoSpaceDE w:val="0"/>
        <w:autoSpaceDN w:val="0"/>
        <w:adjustRightInd w:val="0"/>
        <w:spacing w:line="360" w:lineRule="auto"/>
        <w:jc w:val="both"/>
        <w:rPr>
          <w:rFonts w:ascii="Palatino Linotype" w:hAnsi="Palatino Linotype" w:cs="Arial"/>
        </w:rPr>
      </w:pPr>
    </w:p>
    <w:p w:rsidR="00C85359" w:rsidRPr="006C3E74" w:rsidRDefault="00C85359" w:rsidP="006C3E74">
      <w:pPr>
        <w:tabs>
          <w:tab w:val="left" w:pos="9214"/>
        </w:tabs>
        <w:ind w:left="709" w:right="709"/>
        <w:jc w:val="both"/>
        <w:rPr>
          <w:rFonts w:ascii="Palatino Linotype" w:hAnsi="Palatino Linotype"/>
          <w:i/>
          <w:sz w:val="22"/>
          <w:lang w:eastAsia="es-MX"/>
        </w:rPr>
      </w:pPr>
      <w:r w:rsidRPr="00734602">
        <w:rPr>
          <w:rFonts w:ascii="Palatino Linotype" w:hAnsi="Palatino Linotype"/>
          <w:i/>
          <w:sz w:val="22"/>
          <w:lang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w:t>
      </w:r>
      <w:r w:rsidRPr="00734602">
        <w:rPr>
          <w:rFonts w:ascii="Palatino Linotype" w:hAnsi="Palatino Linotype"/>
          <w:i/>
          <w:sz w:val="22"/>
          <w:lang w:eastAsia="es-MX"/>
        </w:rPr>
        <w:lastRenderedPageBreak/>
        <w:t>índole, la cual adopta, específicamente, el carácter de simple petición administrativa, acción o recurso, etc…“(</w:t>
      </w:r>
      <w:r w:rsidRPr="006C3E74">
        <w:rPr>
          <w:rFonts w:ascii="Palatino Linotype" w:hAnsi="Palatino Linotype"/>
          <w:i/>
          <w:sz w:val="22"/>
          <w:lang w:eastAsia="es-MX"/>
        </w:rPr>
        <w:t>Sic)</w:t>
      </w:r>
    </w:p>
    <w:p w:rsidR="006C3E74" w:rsidRDefault="006C3E74" w:rsidP="006C3E74">
      <w:pPr>
        <w:autoSpaceDE w:val="0"/>
        <w:autoSpaceDN w:val="0"/>
        <w:adjustRightInd w:val="0"/>
        <w:spacing w:line="360" w:lineRule="auto"/>
        <w:jc w:val="both"/>
        <w:rPr>
          <w:rFonts w:ascii="Palatino Linotype" w:hAnsi="Palatino Linotype" w:cs="Arial"/>
        </w:rPr>
      </w:pPr>
    </w:p>
    <w:p w:rsidR="00C85359" w:rsidRDefault="00C85359"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cs="Arial"/>
        </w:rPr>
        <w:t xml:space="preserve">Por su parte, David Cienfuegos Salgado, concibe al derecho de petición como: </w:t>
      </w:r>
    </w:p>
    <w:p w:rsidR="006C3E74" w:rsidRPr="00734602" w:rsidRDefault="006C3E74" w:rsidP="006C3E74">
      <w:pPr>
        <w:autoSpaceDE w:val="0"/>
        <w:autoSpaceDN w:val="0"/>
        <w:adjustRightInd w:val="0"/>
        <w:spacing w:line="360" w:lineRule="auto"/>
        <w:jc w:val="both"/>
        <w:rPr>
          <w:rFonts w:ascii="Palatino Linotype" w:hAnsi="Palatino Linotype" w:cs="Arial"/>
        </w:rPr>
      </w:pPr>
    </w:p>
    <w:p w:rsidR="00C85359" w:rsidRPr="006C3E74" w:rsidRDefault="00C85359" w:rsidP="006C3E74">
      <w:pPr>
        <w:tabs>
          <w:tab w:val="left" w:pos="9214"/>
        </w:tabs>
        <w:ind w:left="709" w:right="709"/>
        <w:jc w:val="both"/>
        <w:rPr>
          <w:rFonts w:ascii="Palatino Linotype" w:hAnsi="Palatino Linotype"/>
          <w:i/>
          <w:sz w:val="22"/>
          <w:lang w:eastAsia="es-MX"/>
        </w:rPr>
      </w:pPr>
      <w:r w:rsidRPr="00734602">
        <w:rPr>
          <w:rFonts w:ascii="Palatino Linotype" w:hAnsi="Palatino Linotype"/>
          <w:i/>
          <w:sz w:val="22"/>
          <w:lang w:eastAsia="es-MX"/>
        </w:rPr>
        <w:t xml:space="preserve">“… el derecho de toda persona a ser escuchado por quienes ejercen el poder público...” </w:t>
      </w:r>
      <w:r w:rsidRPr="006C3E74">
        <w:rPr>
          <w:rFonts w:ascii="Palatino Linotype" w:hAnsi="Palatino Linotype"/>
          <w:i/>
          <w:sz w:val="22"/>
          <w:lang w:eastAsia="es-MX"/>
        </w:rPr>
        <w:t xml:space="preserve">(Sic) </w:t>
      </w:r>
    </w:p>
    <w:p w:rsidR="006C3E74" w:rsidRDefault="006C3E74" w:rsidP="006C3E74">
      <w:pPr>
        <w:autoSpaceDE w:val="0"/>
        <w:autoSpaceDN w:val="0"/>
        <w:adjustRightInd w:val="0"/>
        <w:spacing w:line="360" w:lineRule="auto"/>
        <w:jc w:val="both"/>
        <w:rPr>
          <w:rFonts w:ascii="Palatino Linotype" w:hAnsi="Palatino Linotype" w:cs="Arial"/>
        </w:rPr>
      </w:pPr>
    </w:p>
    <w:p w:rsidR="00C85359" w:rsidRDefault="00C85359"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rsidR="006C3E74" w:rsidRPr="00734602" w:rsidRDefault="006C3E74" w:rsidP="006C3E74">
      <w:pPr>
        <w:autoSpaceDE w:val="0"/>
        <w:autoSpaceDN w:val="0"/>
        <w:adjustRightInd w:val="0"/>
        <w:spacing w:line="360" w:lineRule="auto"/>
        <w:jc w:val="both"/>
        <w:rPr>
          <w:rFonts w:ascii="Palatino Linotype" w:hAnsi="Palatino Linotype" w:cs="Arial"/>
        </w:rPr>
      </w:pPr>
    </w:p>
    <w:p w:rsidR="00C85359" w:rsidRPr="00734602" w:rsidRDefault="00C85359" w:rsidP="006C3E74">
      <w:pPr>
        <w:tabs>
          <w:tab w:val="left" w:pos="9214"/>
        </w:tabs>
        <w:ind w:left="709" w:right="709"/>
        <w:jc w:val="both"/>
        <w:rPr>
          <w:rFonts w:ascii="Palatino Linotype" w:hAnsi="Palatino Linotype"/>
          <w:i/>
          <w:sz w:val="22"/>
          <w:lang w:eastAsia="es-MX"/>
        </w:rPr>
      </w:pPr>
      <w:r w:rsidRPr="00734602">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734602">
        <w:rPr>
          <w:rFonts w:ascii="Palatino Linotype" w:hAnsi="Palatino Linotype"/>
          <w:sz w:val="22"/>
          <w:lang w:eastAsia="es-MX"/>
        </w:rPr>
        <w:t>(Sic)</w:t>
      </w:r>
      <w:r w:rsidRPr="00734602">
        <w:rPr>
          <w:rFonts w:ascii="Palatino Linotype" w:hAnsi="Palatino Linotype"/>
          <w:i/>
          <w:sz w:val="22"/>
          <w:lang w:eastAsia="es-MX"/>
        </w:rPr>
        <w:t xml:space="preserve"> </w:t>
      </w:r>
    </w:p>
    <w:p w:rsidR="006C3E74" w:rsidRDefault="006C3E74" w:rsidP="006C3E74">
      <w:pPr>
        <w:autoSpaceDE w:val="0"/>
        <w:autoSpaceDN w:val="0"/>
        <w:adjustRightInd w:val="0"/>
        <w:spacing w:line="360" w:lineRule="auto"/>
        <w:jc w:val="both"/>
        <w:rPr>
          <w:rFonts w:ascii="Palatino Linotype" w:hAnsi="Palatino Linotype" w:cs="Arial"/>
        </w:rPr>
      </w:pPr>
    </w:p>
    <w:p w:rsidR="00C85359" w:rsidRDefault="00C85359" w:rsidP="006C3E74">
      <w:pPr>
        <w:autoSpaceDE w:val="0"/>
        <w:autoSpaceDN w:val="0"/>
        <w:adjustRightInd w:val="0"/>
        <w:spacing w:line="360" w:lineRule="auto"/>
        <w:jc w:val="both"/>
        <w:rPr>
          <w:rFonts w:ascii="Palatino Linotype" w:hAnsi="Palatino Linotype"/>
        </w:rPr>
      </w:pPr>
      <w:r w:rsidRPr="00734602">
        <w:rPr>
          <w:rFonts w:ascii="Palatino Linotype" w:hAnsi="Palatino Linotype" w:cs="Arial"/>
        </w:rPr>
        <w:t xml:space="preserve">Ahora bien, el derecho </w:t>
      </w:r>
      <w:r w:rsidRPr="00734602">
        <w:rPr>
          <w:rFonts w:ascii="Palatino Linotype" w:hAnsi="Palatino Linotype"/>
        </w:rPr>
        <w:t xml:space="preserve">de acceso a la información pública por disposición del artículo 4 de la Ley de Transparencia y Acceso a la Información Pública del Estado de México y Municipios </w:t>
      </w:r>
      <w:r w:rsidRPr="00734602">
        <w:rPr>
          <w:rFonts w:ascii="Palatino Linotype" w:hAnsi="Palatino Linotype"/>
          <w:b/>
        </w:rPr>
        <w:t>es la prerrogativa de las personas para buscar, difundir, investigar, recabar, recibir y solicitar información pública</w:t>
      </w:r>
      <w:r w:rsidRPr="00734602">
        <w:rPr>
          <w:rFonts w:ascii="Palatino Linotype" w:hAnsi="Palatino Linotype"/>
        </w:rPr>
        <w:t xml:space="preserve">. </w:t>
      </w:r>
    </w:p>
    <w:p w:rsidR="006C3E74" w:rsidRPr="00734602" w:rsidRDefault="006C3E74" w:rsidP="006C3E74">
      <w:pPr>
        <w:autoSpaceDE w:val="0"/>
        <w:autoSpaceDN w:val="0"/>
        <w:adjustRightInd w:val="0"/>
        <w:spacing w:line="360" w:lineRule="auto"/>
        <w:jc w:val="both"/>
        <w:rPr>
          <w:rFonts w:ascii="Palatino Linotype" w:hAnsi="Palatino Linotype"/>
        </w:rPr>
      </w:pPr>
    </w:p>
    <w:p w:rsidR="00C85359" w:rsidRPr="00734602" w:rsidRDefault="00C85359" w:rsidP="006C3E74">
      <w:pPr>
        <w:ind w:left="709" w:right="709"/>
        <w:jc w:val="both"/>
        <w:rPr>
          <w:rFonts w:ascii="Palatino Linotype" w:hAnsi="Palatino Linotype"/>
          <w:i/>
          <w:sz w:val="22"/>
        </w:rPr>
      </w:pPr>
      <w:r w:rsidRPr="00734602">
        <w:rPr>
          <w:rFonts w:ascii="Palatino Linotype" w:hAnsi="Palatino Linotype"/>
          <w:sz w:val="22"/>
        </w:rPr>
        <w:t>“</w:t>
      </w:r>
      <w:r w:rsidRPr="00734602">
        <w:rPr>
          <w:rFonts w:ascii="Palatino Linotype" w:hAnsi="Palatino Linotype"/>
          <w:b/>
          <w:i/>
          <w:sz w:val="22"/>
        </w:rPr>
        <w:t>Artículo 4.</w:t>
      </w:r>
      <w:r w:rsidRPr="00734602">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C3E74" w:rsidRPr="006C3E74" w:rsidRDefault="006C3E74" w:rsidP="006C3E74">
      <w:pPr>
        <w:ind w:left="709" w:right="709"/>
        <w:jc w:val="both"/>
        <w:rPr>
          <w:rFonts w:ascii="Palatino Linotype" w:hAnsi="Palatino Linotype"/>
          <w:i/>
          <w:sz w:val="20"/>
          <w:szCs w:val="20"/>
        </w:rPr>
      </w:pPr>
    </w:p>
    <w:p w:rsidR="00C85359" w:rsidRPr="00734602" w:rsidRDefault="00C85359" w:rsidP="006C3E74">
      <w:pPr>
        <w:ind w:left="709" w:right="709"/>
        <w:jc w:val="both"/>
        <w:rPr>
          <w:rFonts w:ascii="Palatino Linotype" w:hAnsi="Palatino Linotype"/>
          <w:i/>
          <w:sz w:val="22"/>
        </w:rPr>
      </w:pPr>
      <w:r w:rsidRPr="00734602">
        <w:rPr>
          <w:rFonts w:ascii="Palatino Linotype" w:hAnsi="Palatino Linotype"/>
          <w:b/>
          <w:i/>
          <w:sz w:val="22"/>
        </w:rPr>
        <w:t xml:space="preserve">Toda la información generada, obtenida, adquirida, transformada, administrada o en posesión de los sujetos obligados es pública y accesible de </w:t>
      </w:r>
      <w:r w:rsidRPr="00734602">
        <w:rPr>
          <w:rFonts w:ascii="Palatino Linotype" w:hAnsi="Palatino Linotype"/>
          <w:b/>
          <w:i/>
          <w:sz w:val="22"/>
        </w:rPr>
        <w:lastRenderedPageBreak/>
        <w:t>manera permanente a cualquier persona</w:t>
      </w:r>
      <w:r w:rsidRPr="00734602">
        <w:rPr>
          <w:rFonts w:ascii="Palatino Linotype" w:hAnsi="Palatino Linotype"/>
          <w:i/>
          <w:sz w:val="22"/>
        </w:rPr>
        <w:t xml:space="preserve">, en los términos y condiciones que se establezcan en los tratados internacionales de los que el Estado </w:t>
      </w:r>
      <w:r w:rsidRPr="00734602">
        <w:rPr>
          <w:rFonts w:ascii="Palatino Linotype" w:hAnsi="Palatino Linotype" w:cs="Arial"/>
          <w:i/>
          <w:color w:val="000000"/>
          <w:sz w:val="22"/>
        </w:rPr>
        <w:t>mexicano</w:t>
      </w:r>
      <w:r w:rsidRPr="00734602">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85359" w:rsidRPr="006C3E74" w:rsidRDefault="00C85359" w:rsidP="006C3E74">
      <w:pPr>
        <w:ind w:left="709" w:right="709"/>
        <w:jc w:val="both"/>
        <w:rPr>
          <w:rFonts w:ascii="Palatino Linotype" w:hAnsi="Palatino Linotype"/>
          <w:i/>
          <w:sz w:val="20"/>
          <w:szCs w:val="20"/>
        </w:rPr>
      </w:pPr>
    </w:p>
    <w:p w:rsidR="00C85359" w:rsidRPr="00734602" w:rsidRDefault="00C85359" w:rsidP="006C3E74">
      <w:pPr>
        <w:ind w:left="709" w:right="709"/>
        <w:jc w:val="both"/>
        <w:rPr>
          <w:rFonts w:ascii="Palatino Linotype" w:hAnsi="Palatino Linotype"/>
          <w:i/>
          <w:sz w:val="22"/>
        </w:rPr>
      </w:pPr>
      <w:r w:rsidRPr="00734602">
        <w:rPr>
          <w:rFonts w:ascii="Palatino Linotype" w:hAnsi="Palatino Linotype"/>
          <w:i/>
          <w:sz w:val="22"/>
        </w:rPr>
        <w:t>Los sujetos obligados deben poner en práctica, políticas y programas de acceso a la información</w:t>
      </w:r>
      <w:r w:rsidRPr="00734602">
        <w:rPr>
          <w:sz w:val="22"/>
        </w:rPr>
        <w:t xml:space="preserve"> </w:t>
      </w:r>
      <w:r w:rsidRPr="00734602">
        <w:rPr>
          <w:rFonts w:ascii="Palatino Linotype" w:hAnsi="Palatino Linotype"/>
          <w:i/>
          <w:sz w:val="22"/>
        </w:rPr>
        <w:t>que se apeguen a criterios de publicidad, veracidad, oportunidad, precisión y suficiencia en beneficio de los solicitantes.”</w:t>
      </w:r>
    </w:p>
    <w:p w:rsidR="006C3E74" w:rsidRDefault="006C3E74" w:rsidP="006C3E74">
      <w:pPr>
        <w:autoSpaceDE w:val="0"/>
        <w:autoSpaceDN w:val="0"/>
        <w:adjustRightInd w:val="0"/>
        <w:spacing w:line="360" w:lineRule="auto"/>
        <w:jc w:val="both"/>
        <w:rPr>
          <w:rFonts w:ascii="Palatino Linotype" w:hAnsi="Palatino Linotype" w:cs="Arial"/>
        </w:rPr>
      </w:pPr>
    </w:p>
    <w:p w:rsidR="00C85359" w:rsidRDefault="00C85359"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cs="Arial"/>
        </w:rPr>
        <w:t>Es por ello que, el derecho de acceso a la información pública, implica el conocimiento de los particulares de la información contenida en los documentos que posean los órganos del Estado; incluso, se impone la obligación a las autoridades de preservar sus documentos en archivo</w:t>
      </w:r>
      <w:r w:rsidR="00734602" w:rsidRPr="00734602">
        <w:rPr>
          <w:rFonts w:ascii="Palatino Linotype" w:hAnsi="Palatino Linotype" w:cs="Arial"/>
        </w:rPr>
        <w:t>s administrativos actualizados, tal como lo refirió la Ponencia Resolutora en su estudio.</w:t>
      </w:r>
    </w:p>
    <w:p w:rsidR="006C3E74" w:rsidRPr="00734602" w:rsidRDefault="006C3E74" w:rsidP="006C3E74">
      <w:pPr>
        <w:autoSpaceDE w:val="0"/>
        <w:autoSpaceDN w:val="0"/>
        <w:adjustRightInd w:val="0"/>
        <w:spacing w:line="360" w:lineRule="auto"/>
        <w:jc w:val="both"/>
        <w:rPr>
          <w:rFonts w:ascii="Palatino Linotype" w:hAnsi="Palatino Linotype" w:cs="Arial"/>
        </w:rPr>
      </w:pPr>
    </w:p>
    <w:p w:rsidR="00C85359" w:rsidRPr="00734602" w:rsidRDefault="00C85359"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cs="Arial"/>
        </w:rPr>
        <w:t xml:space="preserve">Por lo tanto, para que los Sujetos Obligados hagan efectivo este derecho deben poner a disposición de los particulares los documentos en los que conste el ejercicio de sus atribuciones legales o que por cualquier circunstancia obre en sus archivos, en virtud de que </w:t>
      </w:r>
      <w:r w:rsidRPr="00734602">
        <w:rPr>
          <w:rFonts w:ascii="Palatino Linotype" w:hAnsi="Palatino Linotype" w:cs="Arial"/>
          <w:b/>
        </w:rPr>
        <w:t>toda la información generada, obtenida, adquirida, transformada, administrada o en posesión de los Sujetos Obligados es pública y accesible de manera permanente</w:t>
      </w:r>
      <w:r w:rsidRPr="00734602">
        <w:rPr>
          <w:rFonts w:ascii="Palatino Linotype" w:hAnsi="Palatino Linotype" w:cs="Arial"/>
        </w:rPr>
        <w:t xml:space="preserve">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rsidR="00C85359" w:rsidRDefault="00C85359"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rsidR="006C3E74" w:rsidRPr="00734602" w:rsidRDefault="006C3E74" w:rsidP="006C3E74">
      <w:pPr>
        <w:autoSpaceDE w:val="0"/>
        <w:autoSpaceDN w:val="0"/>
        <w:adjustRightInd w:val="0"/>
        <w:spacing w:line="360" w:lineRule="auto"/>
        <w:jc w:val="both"/>
        <w:rPr>
          <w:rFonts w:ascii="Palatino Linotype" w:hAnsi="Palatino Linotype" w:cs="Arial"/>
        </w:rPr>
      </w:pPr>
    </w:p>
    <w:p w:rsidR="00C85359" w:rsidRDefault="00C85359"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cs="Arial"/>
        </w:rPr>
        <w:t>Lo anterior, tiene sustento en los artículos 3 fracciones XI y XXII; 4; 11, y 12 de la Ley de Transparencia y Acceso a la Información Pública del Estado de México y Municipios que se citan a continuación:</w:t>
      </w:r>
    </w:p>
    <w:p w:rsidR="006C3E74" w:rsidRPr="00734602" w:rsidRDefault="006C3E74" w:rsidP="006C3E74">
      <w:pPr>
        <w:autoSpaceDE w:val="0"/>
        <w:autoSpaceDN w:val="0"/>
        <w:adjustRightInd w:val="0"/>
        <w:spacing w:line="360" w:lineRule="auto"/>
        <w:jc w:val="both"/>
        <w:rPr>
          <w:rFonts w:ascii="Palatino Linotype" w:hAnsi="Palatino Linotype" w:cs="Arial"/>
        </w:rPr>
      </w:pPr>
    </w:p>
    <w:p w:rsidR="00C85359" w:rsidRPr="00734602" w:rsidRDefault="00C85359" w:rsidP="006C3E74">
      <w:pPr>
        <w:ind w:left="709" w:right="1038"/>
        <w:jc w:val="both"/>
        <w:rPr>
          <w:rFonts w:ascii="Palatino Linotype" w:hAnsi="Palatino Linotype" w:cs="Arial"/>
          <w:bCs/>
          <w:i/>
          <w:sz w:val="22"/>
        </w:rPr>
      </w:pPr>
      <w:r w:rsidRPr="00734602">
        <w:rPr>
          <w:rFonts w:ascii="Palatino Linotype" w:hAnsi="Palatino Linotype" w:cs="Arial"/>
          <w:b/>
          <w:bCs/>
          <w:i/>
          <w:sz w:val="22"/>
        </w:rPr>
        <w:t xml:space="preserve">“Artículo 3. Para los efectos </w:t>
      </w:r>
      <w:r w:rsidRPr="00734602">
        <w:rPr>
          <w:rFonts w:ascii="Palatino Linotype" w:hAnsi="Palatino Linotype" w:cs="Arial"/>
          <w:b/>
          <w:i/>
          <w:sz w:val="22"/>
        </w:rPr>
        <w:t>de</w:t>
      </w:r>
      <w:r w:rsidRPr="00734602">
        <w:rPr>
          <w:rFonts w:ascii="Palatino Linotype" w:hAnsi="Palatino Linotype" w:cs="Arial"/>
          <w:b/>
          <w:bCs/>
          <w:i/>
          <w:sz w:val="22"/>
        </w:rPr>
        <w:t xml:space="preserve"> la presente Ley se entenderá por: </w:t>
      </w:r>
      <w:r w:rsidRPr="00734602">
        <w:rPr>
          <w:rFonts w:ascii="Palatino Linotype" w:hAnsi="Palatino Linotype" w:cs="Arial"/>
          <w:bCs/>
          <w:i/>
          <w:sz w:val="22"/>
        </w:rPr>
        <w:t>…</w:t>
      </w:r>
    </w:p>
    <w:p w:rsidR="00C85359" w:rsidRPr="006C3E74" w:rsidRDefault="00C85359" w:rsidP="006C3E74">
      <w:pPr>
        <w:ind w:left="709" w:right="1038"/>
        <w:jc w:val="both"/>
        <w:rPr>
          <w:rFonts w:ascii="Palatino Linotype" w:hAnsi="Palatino Linotype" w:cs="Arial"/>
          <w:bCs/>
          <w:i/>
          <w:sz w:val="20"/>
          <w:szCs w:val="20"/>
        </w:rPr>
      </w:pPr>
      <w:r w:rsidRPr="00734602">
        <w:rPr>
          <w:rFonts w:ascii="Palatino Linotype" w:hAnsi="Palatino Linotype" w:cs="Arial"/>
          <w:bCs/>
          <w:i/>
          <w:sz w:val="22"/>
        </w:rPr>
        <w:t>…</w:t>
      </w:r>
    </w:p>
    <w:p w:rsidR="00C85359" w:rsidRPr="00734602" w:rsidRDefault="00C85359" w:rsidP="006C3E74">
      <w:pPr>
        <w:ind w:left="709" w:right="1038"/>
        <w:jc w:val="both"/>
        <w:rPr>
          <w:rFonts w:ascii="Palatino Linotype" w:hAnsi="Palatino Linotype" w:cs="Arial"/>
          <w:bCs/>
          <w:i/>
          <w:sz w:val="22"/>
        </w:rPr>
      </w:pPr>
      <w:r w:rsidRPr="00734602">
        <w:rPr>
          <w:rFonts w:ascii="Palatino Linotype" w:hAnsi="Palatino Linotype" w:cs="Arial"/>
          <w:b/>
          <w:bCs/>
          <w:i/>
          <w:sz w:val="22"/>
        </w:rPr>
        <w:t>XI. Documento:</w:t>
      </w:r>
      <w:r w:rsidRPr="00734602">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734602">
        <w:rPr>
          <w:rFonts w:ascii="Palatino Linotype" w:hAnsi="Palatino Linotype" w:cs="Arial"/>
          <w:i/>
          <w:color w:val="000000"/>
          <w:sz w:val="22"/>
        </w:rPr>
        <w:t>servidores</w:t>
      </w:r>
      <w:r w:rsidRPr="00734602">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rsidR="00C85359" w:rsidRPr="006C3E74" w:rsidRDefault="00C85359" w:rsidP="006C3E74">
      <w:pPr>
        <w:ind w:left="709" w:right="1038"/>
        <w:jc w:val="both"/>
        <w:rPr>
          <w:rFonts w:ascii="Palatino Linotype" w:hAnsi="Palatino Linotype" w:cs="Arial"/>
          <w:bCs/>
          <w:i/>
          <w:sz w:val="20"/>
          <w:szCs w:val="20"/>
        </w:rPr>
      </w:pPr>
    </w:p>
    <w:p w:rsidR="00C85359" w:rsidRPr="00734602" w:rsidRDefault="00C85359" w:rsidP="006C3E74">
      <w:pPr>
        <w:ind w:left="709" w:right="1038"/>
        <w:jc w:val="both"/>
        <w:rPr>
          <w:rFonts w:ascii="Palatino Linotype" w:hAnsi="Palatino Linotype" w:cs="Arial"/>
          <w:bCs/>
          <w:i/>
          <w:sz w:val="22"/>
        </w:rPr>
      </w:pPr>
      <w:r w:rsidRPr="00734602">
        <w:rPr>
          <w:rFonts w:ascii="Palatino Linotype" w:hAnsi="Palatino Linotype" w:cs="Arial"/>
          <w:b/>
          <w:bCs/>
          <w:i/>
          <w:sz w:val="22"/>
        </w:rPr>
        <w:t>XII. Documento electrónico</w:t>
      </w:r>
      <w:r w:rsidRPr="00734602">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C85359" w:rsidRPr="006C3E74" w:rsidRDefault="00C85359" w:rsidP="006C3E74">
      <w:pPr>
        <w:ind w:left="709" w:right="1038"/>
        <w:jc w:val="both"/>
        <w:rPr>
          <w:rFonts w:ascii="Palatino Linotype" w:hAnsi="Palatino Linotype" w:cs="Arial"/>
          <w:bCs/>
          <w:i/>
          <w:sz w:val="20"/>
          <w:szCs w:val="20"/>
        </w:rPr>
      </w:pPr>
    </w:p>
    <w:p w:rsidR="00C85359" w:rsidRPr="00734602" w:rsidRDefault="00C85359" w:rsidP="006C3E74">
      <w:pPr>
        <w:ind w:left="709" w:right="1038"/>
        <w:jc w:val="both"/>
        <w:rPr>
          <w:rFonts w:ascii="Palatino Linotype" w:hAnsi="Palatino Linotype" w:cs="Arial"/>
          <w:bCs/>
          <w:i/>
          <w:sz w:val="22"/>
        </w:rPr>
      </w:pPr>
      <w:r w:rsidRPr="00734602">
        <w:rPr>
          <w:rFonts w:ascii="Palatino Linotype" w:hAnsi="Palatino Linotype" w:cs="Arial"/>
          <w:b/>
          <w:bCs/>
          <w:i/>
          <w:sz w:val="22"/>
        </w:rPr>
        <w:t>Artículo 4.</w:t>
      </w:r>
      <w:r w:rsidRPr="00734602">
        <w:rPr>
          <w:rFonts w:ascii="Palatino Linotype" w:hAnsi="Palatino Linotype" w:cs="Arial"/>
          <w:bCs/>
          <w:i/>
          <w:sz w:val="22"/>
        </w:rPr>
        <w:t xml:space="preserve"> </w:t>
      </w:r>
      <w:r w:rsidRPr="00734602">
        <w:rPr>
          <w:rFonts w:ascii="Palatino Linotype" w:hAnsi="Palatino Linotype" w:cs="Arial"/>
          <w:b/>
          <w:bCs/>
          <w:i/>
          <w:sz w:val="22"/>
        </w:rPr>
        <w:t>El derecho humano de acceso a la información pública es la prerrogativa de las personas para buscar, difundir, investigar, recabar, recibir y solicitar información pública</w:t>
      </w:r>
      <w:r w:rsidRPr="00734602">
        <w:rPr>
          <w:rFonts w:ascii="Palatino Linotype" w:hAnsi="Palatino Linotype" w:cs="Arial"/>
          <w:bCs/>
          <w:i/>
          <w:sz w:val="22"/>
        </w:rPr>
        <w:t xml:space="preserve">, sin necesidad de acreditar personalidad ni interés jurídico. </w:t>
      </w:r>
    </w:p>
    <w:p w:rsidR="00C85359" w:rsidRPr="006C3E74" w:rsidRDefault="00C85359" w:rsidP="006C3E74">
      <w:pPr>
        <w:ind w:left="709" w:right="1038"/>
        <w:jc w:val="both"/>
        <w:rPr>
          <w:rFonts w:ascii="Palatino Linotype" w:hAnsi="Palatino Linotype" w:cs="Arial"/>
          <w:bCs/>
          <w:i/>
          <w:sz w:val="20"/>
          <w:szCs w:val="20"/>
        </w:rPr>
      </w:pPr>
    </w:p>
    <w:p w:rsidR="00C85359" w:rsidRPr="00734602" w:rsidRDefault="00C85359" w:rsidP="006C3E74">
      <w:pPr>
        <w:ind w:left="709" w:right="1038"/>
        <w:jc w:val="both"/>
        <w:rPr>
          <w:rFonts w:ascii="Palatino Linotype" w:hAnsi="Palatino Linotype" w:cs="Arial"/>
          <w:bCs/>
          <w:i/>
          <w:sz w:val="22"/>
        </w:rPr>
      </w:pPr>
      <w:r w:rsidRPr="00734602">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734602">
        <w:rPr>
          <w:rFonts w:ascii="Palatino Linotype" w:hAnsi="Palatino Linotype" w:cs="Arial"/>
          <w:bCs/>
          <w:i/>
          <w:sz w:val="22"/>
        </w:rPr>
        <w:lastRenderedPageBreak/>
        <w:t xml:space="preserve">internacionales de los que el Estado mexicano sea parte, en la Ley General, la presente Ley y demás disposiciones de la materia, privilegiando el principio de máxima publicidad de la </w:t>
      </w:r>
      <w:r w:rsidRPr="00734602">
        <w:rPr>
          <w:rFonts w:ascii="Palatino Linotype" w:hAnsi="Palatino Linotype" w:cs="Arial"/>
          <w:i/>
          <w:color w:val="000000"/>
          <w:sz w:val="22"/>
        </w:rPr>
        <w:t>información</w:t>
      </w:r>
      <w:r w:rsidRPr="00734602">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C85359" w:rsidRPr="006C3E74" w:rsidRDefault="00C85359" w:rsidP="006C3E74">
      <w:pPr>
        <w:ind w:left="709" w:right="1038"/>
        <w:jc w:val="both"/>
        <w:rPr>
          <w:rFonts w:ascii="Palatino Linotype" w:hAnsi="Palatino Linotype" w:cs="Arial"/>
          <w:bCs/>
          <w:i/>
          <w:sz w:val="20"/>
          <w:szCs w:val="20"/>
        </w:rPr>
      </w:pPr>
    </w:p>
    <w:p w:rsidR="00C85359" w:rsidRPr="00734602" w:rsidRDefault="00C85359" w:rsidP="006C3E74">
      <w:pPr>
        <w:ind w:left="709" w:right="1038"/>
        <w:jc w:val="both"/>
        <w:rPr>
          <w:rFonts w:ascii="Palatino Linotype" w:hAnsi="Palatino Linotype" w:cs="Arial"/>
          <w:bCs/>
          <w:i/>
          <w:sz w:val="22"/>
        </w:rPr>
      </w:pPr>
      <w:r w:rsidRPr="00734602">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C85359" w:rsidRPr="006C3E74" w:rsidRDefault="00C85359" w:rsidP="006C3E74">
      <w:pPr>
        <w:ind w:left="709" w:right="1038"/>
        <w:jc w:val="both"/>
        <w:rPr>
          <w:rFonts w:ascii="Palatino Linotype" w:hAnsi="Palatino Linotype" w:cs="Arial"/>
          <w:bCs/>
          <w:i/>
          <w:sz w:val="20"/>
          <w:szCs w:val="20"/>
        </w:rPr>
      </w:pPr>
    </w:p>
    <w:p w:rsidR="00C85359" w:rsidRPr="00734602" w:rsidRDefault="00C85359" w:rsidP="006C3E74">
      <w:pPr>
        <w:ind w:left="709" w:right="1038"/>
        <w:jc w:val="both"/>
        <w:rPr>
          <w:rFonts w:ascii="Palatino Linotype" w:hAnsi="Palatino Linotype" w:cs="Arial"/>
          <w:bCs/>
          <w:i/>
          <w:sz w:val="22"/>
        </w:rPr>
      </w:pPr>
      <w:r w:rsidRPr="00734602">
        <w:rPr>
          <w:rFonts w:ascii="Palatino Linotype" w:hAnsi="Palatino Linotype" w:cs="Arial"/>
          <w:b/>
          <w:bCs/>
          <w:i/>
          <w:sz w:val="22"/>
        </w:rPr>
        <w:t>Artículo 11.-</w:t>
      </w:r>
      <w:r w:rsidRPr="00734602">
        <w:rPr>
          <w:rFonts w:ascii="Palatino Linotype" w:hAnsi="Palatino Linotype" w:cs="Arial"/>
          <w:bCs/>
          <w:i/>
          <w:sz w:val="22"/>
        </w:rPr>
        <w:t xml:space="preserve"> </w:t>
      </w:r>
      <w:r w:rsidRPr="00734602">
        <w:rPr>
          <w:rFonts w:ascii="Palatino Linotype" w:hAnsi="Palatino Linotype" w:cs="Arial"/>
          <w:b/>
          <w:bCs/>
          <w:i/>
          <w:sz w:val="22"/>
        </w:rPr>
        <w:t>Los Sujetos Obligados sólo proporcionarán la información que generen en el ejercicio de sus atribuciones</w:t>
      </w:r>
      <w:r w:rsidRPr="00734602">
        <w:rPr>
          <w:rFonts w:ascii="Palatino Linotype" w:hAnsi="Palatino Linotype" w:cs="Arial"/>
          <w:bCs/>
          <w:i/>
          <w:sz w:val="22"/>
        </w:rPr>
        <w:t>.</w:t>
      </w:r>
    </w:p>
    <w:p w:rsidR="00C85359" w:rsidRPr="006C3E74" w:rsidRDefault="00C85359" w:rsidP="006C3E74">
      <w:pPr>
        <w:ind w:left="709" w:right="1038"/>
        <w:jc w:val="both"/>
        <w:rPr>
          <w:rFonts w:ascii="Palatino Linotype" w:hAnsi="Palatino Linotype" w:cs="Arial"/>
          <w:bCs/>
          <w:i/>
          <w:sz w:val="20"/>
          <w:szCs w:val="20"/>
        </w:rPr>
      </w:pPr>
    </w:p>
    <w:p w:rsidR="00C85359" w:rsidRPr="00734602" w:rsidRDefault="00C85359" w:rsidP="006C3E74">
      <w:pPr>
        <w:ind w:left="709" w:right="1038"/>
        <w:jc w:val="both"/>
        <w:rPr>
          <w:rFonts w:ascii="Palatino Linotype" w:hAnsi="Palatino Linotype" w:cs="Arial"/>
          <w:bCs/>
          <w:i/>
          <w:sz w:val="22"/>
        </w:rPr>
      </w:pPr>
      <w:r w:rsidRPr="00734602">
        <w:rPr>
          <w:rFonts w:ascii="Palatino Linotype" w:hAnsi="Palatino Linotype" w:cs="Arial"/>
          <w:b/>
          <w:bCs/>
          <w:i/>
          <w:sz w:val="22"/>
        </w:rPr>
        <w:t>Artículo 12.</w:t>
      </w:r>
      <w:r w:rsidRPr="00734602">
        <w:rPr>
          <w:rFonts w:ascii="Palatino Linotype" w:hAnsi="Palatino Linotype" w:cs="Arial"/>
          <w:bCs/>
          <w:i/>
          <w:sz w:val="22"/>
        </w:rPr>
        <w:t xml:space="preserve"> Quienes generen, recopilen, administren, manejen, procesen, archiven o conserven información pública</w:t>
      </w:r>
      <w:r w:rsidRPr="00734602">
        <w:rPr>
          <w:rFonts w:ascii="Palatino Linotype" w:hAnsi="Palatino Linotype" w:cs="Arial"/>
          <w:b/>
          <w:bCs/>
          <w:i/>
          <w:sz w:val="22"/>
        </w:rPr>
        <w:t xml:space="preserve"> </w:t>
      </w:r>
      <w:r w:rsidRPr="00734602">
        <w:rPr>
          <w:rFonts w:ascii="Palatino Linotype" w:hAnsi="Palatino Linotype" w:cs="Arial"/>
          <w:bCs/>
          <w:i/>
          <w:sz w:val="22"/>
        </w:rPr>
        <w:t xml:space="preserve">serán responsables de la misma en los términos de las disposiciones jurídicas </w:t>
      </w:r>
      <w:r w:rsidRPr="00734602">
        <w:rPr>
          <w:rFonts w:ascii="Palatino Linotype" w:hAnsi="Palatino Linotype" w:cs="Arial"/>
          <w:i/>
          <w:color w:val="000000"/>
          <w:sz w:val="22"/>
        </w:rPr>
        <w:t>aplicables</w:t>
      </w:r>
      <w:r w:rsidRPr="00734602">
        <w:rPr>
          <w:rFonts w:ascii="Palatino Linotype" w:hAnsi="Palatino Linotype" w:cs="Arial"/>
          <w:bCs/>
          <w:i/>
          <w:sz w:val="22"/>
        </w:rPr>
        <w:t xml:space="preserve">. </w:t>
      </w:r>
    </w:p>
    <w:p w:rsidR="00C85359" w:rsidRPr="006C3E74" w:rsidRDefault="00C85359" w:rsidP="006C3E74">
      <w:pPr>
        <w:ind w:left="709" w:right="1038"/>
        <w:jc w:val="both"/>
        <w:rPr>
          <w:rFonts w:ascii="Palatino Linotype" w:hAnsi="Palatino Linotype" w:cs="Arial"/>
          <w:bCs/>
          <w:i/>
          <w:sz w:val="20"/>
          <w:szCs w:val="20"/>
        </w:rPr>
      </w:pPr>
    </w:p>
    <w:p w:rsidR="00C85359" w:rsidRPr="00734602" w:rsidRDefault="00C85359" w:rsidP="006C3E74">
      <w:pPr>
        <w:ind w:left="709" w:right="1038"/>
        <w:jc w:val="both"/>
        <w:rPr>
          <w:rFonts w:ascii="Palatino Linotype" w:hAnsi="Palatino Linotype" w:cs="Arial"/>
          <w:bCs/>
          <w:i/>
          <w:sz w:val="22"/>
        </w:rPr>
      </w:pPr>
      <w:r w:rsidRPr="00734602">
        <w:rPr>
          <w:rFonts w:ascii="Palatino Linotype" w:hAnsi="Palatino Linotype" w:cs="Arial"/>
          <w:b/>
          <w:bCs/>
          <w:i/>
          <w:sz w:val="22"/>
        </w:rPr>
        <w:t>Los sujetos obligados sólo proporcionarán la información pública que se les requiera y que obre en sus archivos</w:t>
      </w:r>
      <w:r w:rsidRPr="00734602">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85359" w:rsidRPr="006C3E74" w:rsidRDefault="00C85359" w:rsidP="006C3E74">
      <w:pPr>
        <w:ind w:left="709" w:right="1038"/>
        <w:jc w:val="both"/>
        <w:rPr>
          <w:rFonts w:ascii="Palatino Linotype" w:hAnsi="Palatino Linotype" w:cs="Arial"/>
          <w:bCs/>
          <w:i/>
          <w:sz w:val="22"/>
        </w:rPr>
      </w:pPr>
    </w:p>
    <w:p w:rsidR="00C85359" w:rsidRPr="006C3E74" w:rsidRDefault="00C85359" w:rsidP="006C3E74">
      <w:pPr>
        <w:ind w:left="709" w:right="1038"/>
        <w:jc w:val="both"/>
        <w:rPr>
          <w:rFonts w:ascii="Palatino Linotype" w:hAnsi="Palatino Linotype" w:cs="Arial"/>
          <w:bCs/>
          <w:i/>
          <w:sz w:val="22"/>
        </w:rPr>
      </w:pPr>
      <w:r w:rsidRPr="006C3E74">
        <w:rPr>
          <w:rFonts w:ascii="Palatino Linotype" w:hAnsi="Palatino Linotype" w:cs="Arial"/>
          <w:bCs/>
          <w:i/>
          <w:sz w:val="22"/>
        </w:rPr>
        <w:t>(Énfasis añadido)</w:t>
      </w:r>
    </w:p>
    <w:p w:rsidR="00ED216B" w:rsidRDefault="00ED216B" w:rsidP="006C3E74">
      <w:pPr>
        <w:autoSpaceDE w:val="0"/>
        <w:autoSpaceDN w:val="0"/>
        <w:adjustRightInd w:val="0"/>
        <w:spacing w:line="360" w:lineRule="auto"/>
        <w:jc w:val="both"/>
        <w:rPr>
          <w:rFonts w:ascii="Palatino Linotype" w:hAnsi="Palatino Linotype" w:cs="Arial"/>
        </w:rPr>
      </w:pPr>
    </w:p>
    <w:p w:rsidR="00C85359" w:rsidRDefault="00C85359"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cs="Arial"/>
        </w:rPr>
        <w:t xml:space="preserve">En ese contexto, de una interpretación sistemática de los artículos anteriores se puede advertir que </w:t>
      </w:r>
      <w:r w:rsidRPr="00734602">
        <w:rPr>
          <w:rFonts w:ascii="Palatino Linotype" w:hAnsi="Palatino Linotype" w:cs="Arial"/>
          <w:b/>
        </w:rPr>
        <w:t>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w:t>
      </w:r>
      <w:r w:rsidRPr="00734602">
        <w:rPr>
          <w:rFonts w:ascii="Palatino Linotype" w:hAnsi="Palatino Linotype" w:cs="Arial"/>
        </w:rPr>
        <w:t>.</w:t>
      </w:r>
    </w:p>
    <w:p w:rsidR="006C3E74" w:rsidRPr="00734602" w:rsidRDefault="006C3E74" w:rsidP="006C3E74">
      <w:pPr>
        <w:autoSpaceDE w:val="0"/>
        <w:autoSpaceDN w:val="0"/>
        <w:adjustRightInd w:val="0"/>
        <w:spacing w:line="360" w:lineRule="auto"/>
        <w:jc w:val="both"/>
        <w:rPr>
          <w:rFonts w:ascii="Palatino Linotype" w:hAnsi="Palatino Linotype" w:cs="Arial"/>
        </w:rPr>
      </w:pPr>
    </w:p>
    <w:p w:rsidR="00C85359" w:rsidRDefault="00C85359" w:rsidP="006C3E74">
      <w:pPr>
        <w:autoSpaceDE w:val="0"/>
        <w:autoSpaceDN w:val="0"/>
        <w:adjustRightInd w:val="0"/>
        <w:spacing w:line="360" w:lineRule="auto"/>
        <w:jc w:val="both"/>
        <w:rPr>
          <w:rFonts w:ascii="Palatino Linotype" w:hAnsi="Palatino Linotype" w:cs="Arial"/>
        </w:rPr>
      </w:pPr>
      <w:r w:rsidRPr="00734602">
        <w:rPr>
          <w:rFonts w:ascii="Palatino Linotype" w:hAnsi="Palatino Linotype" w:cs="Arial"/>
        </w:rPr>
        <w:t xml:space="preserve">Para ello, la Ley de la materia otorga la calidad de documento a los expedientes, reportes, estudios, actas, resoluciones, oficios, correspondencia, acuerdos, directivas, </w:t>
      </w:r>
      <w:r w:rsidRPr="00734602">
        <w:rPr>
          <w:rFonts w:ascii="Palatino Linotype" w:hAnsi="Palatino Linotype" w:cs="Arial"/>
        </w:rPr>
        <w:lastRenderedPageBreak/>
        <w:t>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C3E74" w:rsidRPr="00734602" w:rsidRDefault="006C3E74" w:rsidP="006C3E74">
      <w:pPr>
        <w:autoSpaceDE w:val="0"/>
        <w:autoSpaceDN w:val="0"/>
        <w:adjustRightInd w:val="0"/>
        <w:spacing w:line="360" w:lineRule="auto"/>
        <w:jc w:val="both"/>
        <w:rPr>
          <w:rFonts w:ascii="Palatino Linotype" w:hAnsi="Palatino Linotype" w:cs="Arial"/>
        </w:rPr>
      </w:pPr>
    </w:p>
    <w:p w:rsidR="00C85359" w:rsidRDefault="00C85359" w:rsidP="006C3E74">
      <w:pPr>
        <w:autoSpaceDE w:val="0"/>
        <w:autoSpaceDN w:val="0"/>
        <w:adjustRightInd w:val="0"/>
        <w:spacing w:line="360" w:lineRule="auto"/>
        <w:jc w:val="both"/>
        <w:rPr>
          <w:rFonts w:ascii="Palatino Linotype" w:hAnsi="Palatino Linotype" w:cs="Arial"/>
          <w:b/>
        </w:rPr>
      </w:pPr>
      <w:r w:rsidRPr="00734602">
        <w:rPr>
          <w:rFonts w:ascii="Palatino Linotype" w:hAnsi="Palatino Linotype" w:cs="Arial"/>
        </w:rPr>
        <w:t xml:space="preserve">Por otro lado, así como la Constitución y la Ley de la materia </w:t>
      </w:r>
      <w:r w:rsidRPr="00734602">
        <w:rPr>
          <w:rFonts w:ascii="Palatino Linotype" w:hAnsi="Palatino Linotype" w:cs="Arial"/>
          <w:b/>
        </w:rPr>
        <w:t>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6C3E74" w:rsidRPr="00734602" w:rsidRDefault="006C3E74" w:rsidP="006C3E74">
      <w:pPr>
        <w:autoSpaceDE w:val="0"/>
        <w:autoSpaceDN w:val="0"/>
        <w:adjustRightInd w:val="0"/>
        <w:spacing w:line="360" w:lineRule="auto"/>
        <w:jc w:val="both"/>
        <w:rPr>
          <w:rFonts w:ascii="Palatino Linotype" w:hAnsi="Palatino Linotype" w:cs="Arial"/>
          <w:b/>
        </w:rPr>
      </w:pPr>
    </w:p>
    <w:p w:rsidR="00C85359" w:rsidRPr="00734602" w:rsidRDefault="00C85359" w:rsidP="006C3E74">
      <w:pPr>
        <w:spacing w:line="360" w:lineRule="auto"/>
        <w:jc w:val="both"/>
        <w:rPr>
          <w:rFonts w:ascii="Palatino Linotype" w:hAnsi="Palatino Linotype" w:cs="Arial"/>
          <w:b/>
        </w:rPr>
      </w:pPr>
      <w:r w:rsidRPr="00734602">
        <w:rPr>
          <w:rFonts w:ascii="Palatino Linotype" w:hAnsi="Palatino Linotype" w:cs="Arial"/>
        </w:rPr>
        <w:t xml:space="preserve">En síntesis, el derecho de acceso a la información pública se satisface en aquellos casos en que se entregue el soporte documental en que conste lo solicitado por </w:t>
      </w:r>
      <w:r w:rsidR="00734602" w:rsidRPr="00734602">
        <w:rPr>
          <w:rFonts w:ascii="Palatino Linotype" w:hAnsi="Palatino Linotype" w:cs="Arial"/>
          <w:b/>
        </w:rPr>
        <w:t>EL</w:t>
      </w:r>
      <w:r w:rsidRPr="00734602">
        <w:rPr>
          <w:rFonts w:ascii="Palatino Linotype" w:hAnsi="Palatino Linotype" w:cs="Arial"/>
          <w:b/>
        </w:rPr>
        <w:t xml:space="preserve"> RECURRENTE</w:t>
      </w:r>
      <w:r w:rsidRPr="00734602">
        <w:rPr>
          <w:rFonts w:ascii="Palatino Linotype" w:hAnsi="Palatino Linotype" w:cs="Arial"/>
        </w:rPr>
        <w:t>, toda vez que se encuentr</w:t>
      </w:r>
      <w:r w:rsidR="00734602" w:rsidRPr="00734602">
        <w:rPr>
          <w:rFonts w:ascii="Palatino Linotype" w:hAnsi="Palatino Linotype" w:cs="Arial"/>
        </w:rPr>
        <w:t>a</w:t>
      </w:r>
      <w:r w:rsidRPr="00734602">
        <w:rPr>
          <w:rFonts w:ascii="Palatino Linotype" w:hAnsi="Palatino Linotype" w:cs="Arial"/>
        </w:rPr>
        <w:t xml:space="preserve"> en posesión del </w:t>
      </w:r>
      <w:r w:rsidRPr="00734602">
        <w:rPr>
          <w:rFonts w:ascii="Palatino Linotype" w:hAnsi="Palatino Linotype" w:cs="Arial"/>
          <w:b/>
        </w:rPr>
        <w:t>SUJETO OBLIGADO</w:t>
      </w:r>
      <w:r w:rsidRPr="00734602">
        <w:rPr>
          <w:rFonts w:ascii="Palatino Linotype" w:hAnsi="Palatino Linotype" w:cs="Arial"/>
        </w:rPr>
        <w:t>, ya que</w:t>
      </w:r>
      <w:r w:rsidRPr="00734602">
        <w:rPr>
          <w:rFonts w:ascii="Palatino Linotype" w:hAnsi="Palatino Linotype" w:cs="Arial"/>
          <w:b/>
        </w:rPr>
        <w:t xml:space="preserve"> no tienen el deber de generar, poseer o administrar la información pública con el grado de detalle que fue </w:t>
      </w:r>
      <w:r w:rsidR="00734602" w:rsidRPr="00734602">
        <w:rPr>
          <w:rFonts w:ascii="Palatino Linotype" w:hAnsi="Palatino Linotype" w:cs="Arial"/>
          <w:b/>
        </w:rPr>
        <w:t>requerido por el</w:t>
      </w:r>
      <w:r w:rsidRPr="00734602">
        <w:rPr>
          <w:rFonts w:ascii="Palatino Linotype" w:hAnsi="Palatino Linotype" w:cs="Arial"/>
          <w:b/>
        </w:rPr>
        <w:t xml:space="preserve"> particular;</w:t>
      </w:r>
      <w:r w:rsidRPr="00734602">
        <w:rPr>
          <w:rFonts w:ascii="Palatino Linotype" w:hAnsi="Palatino Linotype" w:cs="Arial"/>
        </w:rPr>
        <w:t xml:space="preserve"> esto es, que </w:t>
      </w:r>
      <w:r w:rsidR="00ED216B">
        <w:rPr>
          <w:rFonts w:ascii="Palatino Linotype" w:hAnsi="Palatino Linotype" w:cs="Arial"/>
          <w:b/>
        </w:rPr>
        <w:t xml:space="preserve">no tiene la obligación de </w:t>
      </w:r>
      <w:r w:rsidRPr="00734602">
        <w:rPr>
          <w:rFonts w:ascii="Palatino Linotype" w:hAnsi="Palatino Linotype" w:cs="Arial"/>
          <w:b/>
        </w:rPr>
        <w:t xml:space="preserve">generar un documento </w:t>
      </w:r>
      <w:r w:rsidRPr="00734602">
        <w:rPr>
          <w:rFonts w:ascii="Palatino Linotype" w:hAnsi="Palatino Linotype" w:cs="Arial"/>
          <w:b/>
          <w:i/>
        </w:rPr>
        <w:t>ad hoc</w:t>
      </w:r>
      <w:r w:rsidRPr="00734602">
        <w:rPr>
          <w:rStyle w:val="Refdenotaalpie"/>
          <w:rFonts w:ascii="Palatino Linotype" w:hAnsi="Palatino Linotype" w:cs="Arial"/>
          <w:b/>
        </w:rPr>
        <w:footnoteReference w:id="2"/>
      </w:r>
      <w:r w:rsidRPr="00734602">
        <w:rPr>
          <w:rFonts w:ascii="Palatino Linotype" w:hAnsi="Palatino Linotype" w:cs="Arial"/>
          <w:b/>
        </w:rPr>
        <w:t>, a fin de satisfacer los requerimientos de los particulares.</w:t>
      </w:r>
    </w:p>
    <w:p w:rsidR="00C85359" w:rsidRDefault="00C85359" w:rsidP="006C3E74">
      <w:pPr>
        <w:spacing w:line="360" w:lineRule="auto"/>
        <w:ind w:right="49"/>
        <w:jc w:val="both"/>
        <w:rPr>
          <w:rFonts w:ascii="Palatino Linotype" w:hAnsi="Palatino Linotype" w:cs="Arial"/>
        </w:rPr>
      </w:pPr>
      <w:r w:rsidRPr="00734602">
        <w:rPr>
          <w:rFonts w:ascii="Palatino Linotype" w:hAnsi="Palatino Linotype" w:cs="Arial"/>
        </w:rPr>
        <w:lastRenderedPageBreak/>
        <w:t xml:space="preserve">Así las cosas, debe señalarse que tanto en la solicitud de información como en el recurso de revisión presentados en </w:t>
      </w:r>
      <w:r w:rsidRPr="00734602">
        <w:rPr>
          <w:rFonts w:ascii="Palatino Linotype" w:hAnsi="Palatino Linotype" w:cs="Arial"/>
          <w:b/>
        </w:rPr>
        <w:t>EL SAIMEX</w:t>
      </w:r>
      <w:r w:rsidRPr="00734602">
        <w:rPr>
          <w:rFonts w:ascii="Palatino Linotype" w:hAnsi="Palatino Linotype" w:cs="Arial"/>
        </w:rPr>
        <w:t xml:space="preserve">, </w:t>
      </w:r>
      <w:r w:rsidR="00734602" w:rsidRPr="00734602">
        <w:rPr>
          <w:rFonts w:ascii="Palatino Linotype" w:hAnsi="Palatino Linotype" w:cs="Arial"/>
        </w:rPr>
        <w:t>el</w:t>
      </w:r>
      <w:r w:rsidRPr="00734602">
        <w:rPr>
          <w:rFonts w:ascii="Palatino Linotype" w:hAnsi="Palatino Linotype" w:cs="Arial"/>
        </w:rPr>
        <w:t xml:space="preserve"> solicitante requirió que la</w:t>
      </w:r>
      <w:r w:rsidR="00734602" w:rsidRPr="00734602">
        <w:rPr>
          <w:rFonts w:ascii="Palatino Linotype" w:hAnsi="Palatino Linotype" w:cs="Arial"/>
        </w:rPr>
        <w:t xml:space="preserve"> información le fuera entregado el documento en donde consten los motivos de actualizar sus páginas de información pública</w:t>
      </w:r>
      <w:r w:rsidRPr="00734602">
        <w:rPr>
          <w:rFonts w:ascii="Palatino Linotype" w:hAnsi="Palatino Linotype" w:cs="Arial"/>
        </w:rPr>
        <w:t xml:space="preserve">, y aun cuando la misma es generada por </w:t>
      </w:r>
      <w:r w:rsidRPr="00734602">
        <w:rPr>
          <w:rFonts w:ascii="Palatino Linotype" w:hAnsi="Palatino Linotype" w:cs="Arial"/>
          <w:b/>
        </w:rPr>
        <w:t xml:space="preserve">EL SUJETO OBLIGADO </w:t>
      </w:r>
      <w:r w:rsidRPr="00734602">
        <w:rPr>
          <w:rFonts w:ascii="Palatino Linotype" w:hAnsi="Palatino Linotype" w:cs="Arial"/>
        </w:rPr>
        <w:t>en el ejercicio de sus funciones de derecho público, este no está constreñido a generar documentos a modo, es decir, documentos con la información desagregada al det</w:t>
      </w:r>
      <w:r w:rsidR="00734602" w:rsidRPr="00734602">
        <w:rPr>
          <w:rFonts w:ascii="Palatino Linotype" w:hAnsi="Palatino Linotype" w:cs="Arial"/>
        </w:rPr>
        <w:t>alle en que fue requerida por el</w:t>
      </w:r>
      <w:r w:rsidRPr="00734602">
        <w:rPr>
          <w:rFonts w:ascii="Palatino Linotype" w:hAnsi="Palatino Linotype" w:cs="Arial"/>
        </w:rPr>
        <w:t xml:space="preserve"> solicitante, lo que devendría en el ejercicio del derecho de petición.</w:t>
      </w:r>
    </w:p>
    <w:p w:rsidR="006C3E74" w:rsidRPr="00734602" w:rsidRDefault="006C3E74" w:rsidP="006C3E74">
      <w:pPr>
        <w:spacing w:line="360" w:lineRule="auto"/>
        <w:ind w:right="49"/>
        <w:jc w:val="both"/>
        <w:rPr>
          <w:rFonts w:ascii="Palatino Linotype" w:hAnsi="Palatino Linotype" w:cs="Arial"/>
        </w:rPr>
      </w:pPr>
    </w:p>
    <w:p w:rsidR="00C85359" w:rsidRDefault="00C85359" w:rsidP="006C3E74">
      <w:pPr>
        <w:spacing w:line="360" w:lineRule="auto"/>
        <w:ind w:right="49"/>
        <w:jc w:val="both"/>
        <w:rPr>
          <w:rFonts w:ascii="Palatino Linotype" w:hAnsi="Palatino Linotype" w:cs="Arial"/>
        </w:rPr>
      </w:pPr>
      <w:r w:rsidRPr="00734602">
        <w:rPr>
          <w:rFonts w:ascii="Palatino Linotype" w:hAnsi="Palatino Linotype" w:cs="Arial"/>
        </w:rPr>
        <w:t>Al respecto, es importante precisar que este Instituto de Transparencia como Órgano Garante de la difusión, protección y respeto a los derechos de acceso a la información pública y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rsidR="006C3E74" w:rsidRPr="00734602" w:rsidRDefault="006C3E74" w:rsidP="006C3E74">
      <w:pPr>
        <w:spacing w:line="360" w:lineRule="auto"/>
        <w:ind w:right="49"/>
        <w:jc w:val="both"/>
        <w:rPr>
          <w:rFonts w:ascii="Palatino Linotype" w:hAnsi="Palatino Linotype" w:cs="Arial"/>
        </w:rPr>
      </w:pPr>
    </w:p>
    <w:p w:rsidR="00C85359"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w:t>
      </w:r>
      <w:r w:rsidRPr="00734602">
        <w:rPr>
          <w:rFonts w:ascii="Palatino Linotype" w:hAnsi="Palatino Linotype" w:cs="Arial"/>
          <w:b/>
          <w:i/>
          <w:sz w:val="22"/>
        </w:rPr>
        <w:t>Artículo 179</w:t>
      </w:r>
      <w:r w:rsidRPr="00734602">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rsidR="006C3E74" w:rsidRPr="00734602" w:rsidRDefault="006C3E74" w:rsidP="006C3E74">
      <w:pPr>
        <w:ind w:left="709" w:right="760"/>
        <w:jc w:val="both"/>
        <w:rPr>
          <w:rFonts w:ascii="Palatino Linotype" w:hAnsi="Palatino Linotype" w:cs="Arial"/>
          <w:i/>
          <w:sz w:val="22"/>
        </w:rPr>
      </w:pP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I. La negativa a la información solicitada;</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II. La clasificación de la información;</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III. La declaración de inexistencia de la información;</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IV. La declaración de incompetencia por el sujeto obligado;</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V. La entrega de información incompleta;</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VI. La entrega de información que no corresponda con lo solicitado;</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VII. La falta de respuesta a una solicitud de acceso a la información;</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lastRenderedPageBreak/>
        <w:t>VIII. La notificación, entrega o puesta a disposición de información en una modalidad o formato distinto al solicitado;</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IX. La entrega o puesta a disposición de información en un formato incomprensible y/o no accesible para el solicitante;</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X. Los costos o tiempos de entrega de la información;</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XI. La falta de trámite a una solicitud;</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XII. La negativa a permitir la consulta directa de la información;</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XIII. La falta, deficiencia o insuficiencia de la fundamentación y/o motivación en la respuesta; y</w:t>
      </w:r>
    </w:p>
    <w:p w:rsidR="00C85359"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XIV. La orientación a un trámite específico.</w:t>
      </w:r>
    </w:p>
    <w:p w:rsidR="00C85359" w:rsidRPr="006C3E74" w:rsidRDefault="00C85359" w:rsidP="006C3E74">
      <w:pPr>
        <w:ind w:left="709" w:right="760"/>
        <w:jc w:val="both"/>
        <w:rPr>
          <w:rFonts w:ascii="Palatino Linotype" w:hAnsi="Palatino Linotype" w:cs="Arial"/>
          <w:i/>
          <w:sz w:val="22"/>
          <w:szCs w:val="22"/>
        </w:rPr>
      </w:pPr>
    </w:p>
    <w:p w:rsidR="006C3E74" w:rsidRPr="00734602" w:rsidRDefault="00C85359" w:rsidP="006C3E74">
      <w:pPr>
        <w:ind w:left="709" w:right="760"/>
        <w:jc w:val="both"/>
        <w:rPr>
          <w:rFonts w:ascii="Palatino Linotype" w:hAnsi="Palatino Linotype" w:cs="Arial"/>
          <w:i/>
          <w:sz w:val="22"/>
        </w:rPr>
      </w:pPr>
      <w:r w:rsidRPr="00734602">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006C3E74">
        <w:rPr>
          <w:rFonts w:ascii="Palatino Linotype" w:hAnsi="Palatino Linotype" w:cs="Arial"/>
          <w:i/>
          <w:sz w:val="22"/>
        </w:rPr>
        <w:t>” (Sic)</w:t>
      </w:r>
    </w:p>
    <w:p w:rsidR="006C3E74" w:rsidRDefault="006C3E74" w:rsidP="006C3E74">
      <w:pPr>
        <w:spacing w:line="360" w:lineRule="auto"/>
        <w:jc w:val="both"/>
        <w:rPr>
          <w:rFonts w:ascii="Palatino Linotype" w:hAnsi="Palatino Linotype"/>
        </w:rPr>
      </w:pPr>
    </w:p>
    <w:p w:rsidR="00C85359" w:rsidRDefault="00C85359" w:rsidP="006C3E74">
      <w:pPr>
        <w:spacing w:line="360" w:lineRule="auto"/>
        <w:jc w:val="both"/>
        <w:rPr>
          <w:rFonts w:ascii="Palatino Linotype" w:hAnsi="Palatino Linotype"/>
        </w:rPr>
      </w:pPr>
      <w:r w:rsidRPr="00734602">
        <w:rPr>
          <w:rFonts w:ascii="Palatino Linotype" w:hAnsi="Palatino Linotype"/>
        </w:rPr>
        <w:t xml:space="preserve">Así si bien </w:t>
      </w:r>
      <w:r w:rsidRPr="00734602">
        <w:rPr>
          <w:rFonts w:ascii="Palatino Linotype" w:hAnsi="Palatino Linotype"/>
          <w:b/>
        </w:rPr>
        <w:t xml:space="preserve">EL SUJETO OBLIGADO </w:t>
      </w:r>
      <w:r w:rsidRPr="00734602">
        <w:rPr>
          <w:rFonts w:ascii="Palatino Linotype" w:hAnsi="Palatino Linotype"/>
        </w:rPr>
        <w:t xml:space="preserve">posee y administra la información requerida, también lo es que el </w:t>
      </w:r>
      <w:r w:rsidR="00ED216B">
        <w:rPr>
          <w:rFonts w:ascii="Palatino Linotype" w:hAnsi="Palatino Linotype"/>
        </w:rPr>
        <w:t xml:space="preserve">generar un documento a modo en el que conste los motivos por los cuales se actualiza el portal del </w:t>
      </w:r>
      <w:r w:rsidR="00ED216B">
        <w:rPr>
          <w:rFonts w:ascii="Palatino Linotype" w:hAnsi="Palatino Linotype"/>
          <w:b/>
        </w:rPr>
        <w:t xml:space="preserve">SUJETO OBLIGADO </w:t>
      </w:r>
      <w:r w:rsidR="00ED216B">
        <w:rPr>
          <w:rFonts w:ascii="Palatino Linotype" w:hAnsi="Palatino Linotype"/>
        </w:rPr>
        <w:t xml:space="preserve">así como el portal de IPOMEX, </w:t>
      </w:r>
      <w:r w:rsidRPr="00734602">
        <w:rPr>
          <w:rFonts w:ascii="Palatino Linotype" w:hAnsi="Palatino Linotype"/>
        </w:rPr>
        <w:t xml:space="preserve">pues el deber de los Sujetos Obligados es el de transparentar y permitir el acceso a los documentos más no integrarla conforme al interés de los particulares, </w:t>
      </w:r>
      <w:r w:rsidR="00ED216B">
        <w:rPr>
          <w:rFonts w:ascii="Palatino Linotype" w:hAnsi="Palatino Linotype"/>
        </w:rPr>
        <w:t xml:space="preserve">ya que </w:t>
      </w:r>
      <w:r w:rsidR="00ED216B" w:rsidRPr="00734602">
        <w:rPr>
          <w:rFonts w:ascii="Palatino Linotype" w:hAnsi="Palatino Linotype"/>
        </w:rPr>
        <w:t>aparentemente</w:t>
      </w:r>
      <w:r w:rsidRPr="00734602">
        <w:rPr>
          <w:rFonts w:ascii="Palatino Linotype" w:hAnsi="Palatino Linotype"/>
        </w:rPr>
        <w:t xml:space="preserve"> se trata del ejercicio de derecho de acceso a la información pública se convierte en un derecho de petición al querer que se entregue la información al grado de desagregación que conforme a sus intereses requieren.</w:t>
      </w:r>
    </w:p>
    <w:p w:rsidR="006C3E74" w:rsidRPr="00734602" w:rsidRDefault="006C3E74" w:rsidP="006C3E74">
      <w:pPr>
        <w:spacing w:line="360" w:lineRule="auto"/>
        <w:jc w:val="both"/>
        <w:rPr>
          <w:rFonts w:ascii="Palatino Linotype" w:hAnsi="Palatino Linotype"/>
        </w:rPr>
      </w:pPr>
    </w:p>
    <w:p w:rsidR="00ED216B" w:rsidRPr="00F35A28" w:rsidRDefault="00C85359" w:rsidP="006C3E74">
      <w:pPr>
        <w:spacing w:line="360" w:lineRule="auto"/>
        <w:jc w:val="both"/>
        <w:rPr>
          <w:rFonts w:ascii="Palatino Linotype" w:hAnsi="Palatino Linotype"/>
        </w:rPr>
      </w:pPr>
      <w:r w:rsidRPr="00734602">
        <w:rPr>
          <w:rFonts w:ascii="Palatino Linotype" w:hAnsi="Palatino Linotype"/>
        </w:rPr>
        <w:t xml:space="preserve">En </w:t>
      </w:r>
      <w:r w:rsidR="00734602" w:rsidRPr="00734602">
        <w:rPr>
          <w:rFonts w:ascii="Palatino Linotype" w:hAnsi="Palatino Linotype"/>
        </w:rPr>
        <w:t xml:space="preserve">ese contexto, la </w:t>
      </w:r>
      <w:r w:rsidRPr="00734602">
        <w:rPr>
          <w:rFonts w:ascii="Palatino Linotype" w:hAnsi="Palatino Linotype"/>
        </w:rPr>
        <w:t>suscri</w:t>
      </w:r>
      <w:r w:rsidR="00734602" w:rsidRPr="00734602">
        <w:rPr>
          <w:rFonts w:ascii="Palatino Linotype" w:hAnsi="Palatino Linotype"/>
        </w:rPr>
        <w:t xml:space="preserve">ta </w:t>
      </w:r>
      <w:r w:rsidRPr="00734602">
        <w:rPr>
          <w:rFonts w:ascii="Palatino Linotype" w:hAnsi="Palatino Linotype"/>
        </w:rPr>
        <w:t xml:space="preserve">emite </w:t>
      </w:r>
      <w:r w:rsidRPr="00734602">
        <w:rPr>
          <w:rFonts w:ascii="Palatino Linotype" w:hAnsi="Palatino Linotype"/>
          <w:b/>
        </w:rPr>
        <w:t>VOTO PARTICULAR</w:t>
      </w:r>
      <w:r w:rsidRPr="00734602">
        <w:rPr>
          <w:rFonts w:ascii="Palatino Linotype" w:hAnsi="Palatino Linotype"/>
        </w:rPr>
        <w:t xml:space="preserve"> pues se insiste en que</w:t>
      </w:r>
      <w:r w:rsidR="00734602" w:rsidRPr="00734602">
        <w:rPr>
          <w:rFonts w:ascii="Palatino Linotype" w:hAnsi="Palatino Linotype"/>
        </w:rPr>
        <w:t xml:space="preserve"> si bien </w:t>
      </w:r>
      <w:r w:rsidR="00ED216B">
        <w:rPr>
          <w:rFonts w:ascii="Palatino Linotype" w:hAnsi="Palatino Linotype"/>
        </w:rPr>
        <w:t xml:space="preserve">es cierto que </w:t>
      </w:r>
      <w:r w:rsidR="00734602" w:rsidRPr="00734602">
        <w:rPr>
          <w:rFonts w:ascii="Palatino Linotype" w:hAnsi="Palatino Linotype"/>
        </w:rPr>
        <w:t>lo solicitado por el</w:t>
      </w:r>
      <w:r w:rsidRPr="00734602">
        <w:rPr>
          <w:rFonts w:ascii="Palatino Linotype" w:hAnsi="Palatino Linotype"/>
        </w:rPr>
        <w:t xml:space="preserve"> hoy </w:t>
      </w:r>
      <w:r w:rsidRPr="00734602">
        <w:rPr>
          <w:rFonts w:ascii="Palatino Linotype" w:hAnsi="Palatino Linotype"/>
          <w:b/>
        </w:rPr>
        <w:t xml:space="preserve">RECURRENTE </w:t>
      </w:r>
      <w:r w:rsidRPr="00734602">
        <w:rPr>
          <w:rFonts w:ascii="Palatino Linotype" w:hAnsi="Palatino Linotype"/>
        </w:rPr>
        <w:t>consiste en</w:t>
      </w:r>
      <w:r w:rsidR="00ED216B">
        <w:rPr>
          <w:rFonts w:ascii="Palatino Linotype" w:hAnsi="Palatino Linotype"/>
        </w:rPr>
        <w:t xml:space="preserve"> una obligación del </w:t>
      </w:r>
      <w:r w:rsidR="00ED216B">
        <w:rPr>
          <w:rFonts w:ascii="Palatino Linotype" w:hAnsi="Palatino Linotype"/>
          <w:b/>
        </w:rPr>
        <w:t xml:space="preserve">SUJETO OBLIGADO, </w:t>
      </w:r>
      <w:r w:rsidR="00ED216B">
        <w:rPr>
          <w:rFonts w:ascii="Palatino Linotype" w:hAnsi="Palatino Linotype"/>
        </w:rPr>
        <w:t xml:space="preserve">al encontrarse constreñido por la Ley de la materia, a subir a sus portales de información periódicamente la considerada como obligaciones de </w:t>
      </w:r>
      <w:r w:rsidR="00ED216B">
        <w:rPr>
          <w:rFonts w:ascii="Palatino Linotype" w:hAnsi="Palatino Linotype"/>
        </w:rPr>
        <w:lastRenderedPageBreak/>
        <w:t xml:space="preserve">transparencia comunes y específicas, también lo es que, se hace conforme a los Lineamientos por los </w:t>
      </w:r>
      <w:r w:rsidR="00F35A28">
        <w:rPr>
          <w:rFonts w:ascii="Palatino Linotype" w:hAnsi="Palatino Linotype"/>
        </w:rPr>
        <w:t xml:space="preserve">cuales </w:t>
      </w:r>
      <w:r w:rsidR="00ED216B">
        <w:rPr>
          <w:rFonts w:ascii="Palatino Linotype" w:hAnsi="Palatino Linotype"/>
        </w:rPr>
        <w:t>se establecen las Normas que habrán de Observar los Sujetos Obligados en la Identificación, Publicación y Actualización de la Información Pública de Oficio determinada por el Capítulo I del Título Tercero de la Ley de Transparencia y Acceso a la Información Pública del Estado de México y Municipios</w:t>
      </w:r>
      <w:r w:rsidR="0029666C">
        <w:rPr>
          <w:rFonts w:ascii="Palatino Linotype" w:hAnsi="Palatino Linotype"/>
        </w:rPr>
        <w:t>; razón por la cual, considero</w:t>
      </w:r>
      <w:r w:rsidR="00F35A28">
        <w:rPr>
          <w:rFonts w:ascii="Palatino Linotype" w:hAnsi="Palatino Linotype"/>
        </w:rPr>
        <w:t xml:space="preserve"> que lo solicitado por el hoy </w:t>
      </w:r>
      <w:r w:rsidR="00F35A28">
        <w:rPr>
          <w:rFonts w:ascii="Palatino Linotype" w:hAnsi="Palatino Linotype"/>
          <w:b/>
        </w:rPr>
        <w:t xml:space="preserve">RECURRENTE </w:t>
      </w:r>
      <w:r w:rsidR="00F35A28">
        <w:rPr>
          <w:rFonts w:ascii="Palatino Linotype" w:hAnsi="Palatino Linotype"/>
        </w:rPr>
        <w:t>corresponde al derecho de petición.</w:t>
      </w:r>
    </w:p>
    <w:p w:rsidR="006C3E74" w:rsidRDefault="006C3E74" w:rsidP="006C3E74">
      <w:pPr>
        <w:spacing w:line="360" w:lineRule="auto"/>
        <w:jc w:val="both"/>
        <w:rPr>
          <w:rFonts w:ascii="Palatino Linotype" w:hAnsi="Palatino Linotype" w:cs="Arial"/>
        </w:rPr>
      </w:pPr>
    </w:p>
    <w:p w:rsidR="006C3E74" w:rsidRDefault="006C3E74" w:rsidP="006C3E74">
      <w:pPr>
        <w:spacing w:line="360" w:lineRule="auto"/>
        <w:jc w:val="both"/>
        <w:rPr>
          <w:rFonts w:ascii="Palatino Linotype" w:hAnsi="Palatino Linotype" w:cs="Arial"/>
        </w:rPr>
      </w:pPr>
    </w:p>
    <w:p w:rsidR="006C3E74" w:rsidRDefault="006C3E74" w:rsidP="006C3E74">
      <w:pPr>
        <w:spacing w:line="360" w:lineRule="auto"/>
        <w:jc w:val="both"/>
        <w:rPr>
          <w:rFonts w:ascii="Palatino Linotype" w:hAnsi="Palatino Linotype" w:cs="Arial"/>
        </w:rPr>
      </w:pPr>
    </w:p>
    <w:p w:rsidR="006C3E74" w:rsidRDefault="006C3E74" w:rsidP="006C3E74">
      <w:pPr>
        <w:spacing w:line="360" w:lineRule="auto"/>
        <w:jc w:val="both"/>
        <w:rPr>
          <w:rFonts w:ascii="Palatino Linotype" w:hAnsi="Palatino Linotype" w:cs="Arial"/>
        </w:rPr>
      </w:pPr>
    </w:p>
    <w:p w:rsidR="006C3E74" w:rsidRDefault="006C3E74" w:rsidP="006C3E74">
      <w:pPr>
        <w:spacing w:line="360" w:lineRule="auto"/>
        <w:jc w:val="both"/>
        <w:rPr>
          <w:rFonts w:ascii="Palatino Linotype" w:hAnsi="Palatino Linotype" w:cs="Arial"/>
        </w:rPr>
      </w:pPr>
    </w:p>
    <w:p w:rsidR="005F2F91" w:rsidRDefault="005F2F91" w:rsidP="006C3E74">
      <w:pPr>
        <w:spacing w:line="360" w:lineRule="auto"/>
        <w:jc w:val="both"/>
        <w:rPr>
          <w:rFonts w:ascii="Palatino Linotype" w:hAnsi="Palatino Linotype" w:cs="Arial"/>
        </w:rPr>
      </w:pPr>
    </w:p>
    <w:p w:rsidR="005F2F91" w:rsidRDefault="005F2F91" w:rsidP="006C3E74">
      <w:pPr>
        <w:spacing w:line="360" w:lineRule="auto"/>
        <w:jc w:val="both"/>
        <w:rPr>
          <w:rFonts w:ascii="Palatino Linotype" w:hAnsi="Palatino Linotype" w:cs="Arial"/>
        </w:rPr>
      </w:pPr>
    </w:p>
    <w:p w:rsidR="005F2F91" w:rsidRDefault="005F2F91" w:rsidP="006C3E74">
      <w:pPr>
        <w:spacing w:line="360" w:lineRule="auto"/>
        <w:jc w:val="both"/>
        <w:rPr>
          <w:rFonts w:ascii="Palatino Linotype" w:hAnsi="Palatino Linotype" w:cs="Arial"/>
        </w:rPr>
      </w:pPr>
    </w:p>
    <w:p w:rsidR="005F2F91" w:rsidRPr="00734602" w:rsidRDefault="005F2F91" w:rsidP="006C3E74">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C85359" w:rsidRPr="00734602" w:rsidTr="004D7048">
        <w:trPr>
          <w:jc w:val="center"/>
        </w:trPr>
        <w:tc>
          <w:tcPr>
            <w:tcW w:w="4393" w:type="dxa"/>
          </w:tcPr>
          <w:p w:rsidR="00C85359" w:rsidRPr="00734602" w:rsidRDefault="00C85359" w:rsidP="006C3E74">
            <w:pPr>
              <w:jc w:val="center"/>
              <w:rPr>
                <w:rFonts w:ascii="Palatino Linotype" w:hAnsi="Palatino Linotype"/>
                <w:b/>
              </w:rPr>
            </w:pPr>
            <w:r w:rsidRPr="00734602">
              <w:rPr>
                <w:rFonts w:ascii="Palatino Linotype" w:hAnsi="Palatino Linotype"/>
                <w:b/>
              </w:rPr>
              <w:t>EVA ABAID YAPUR</w:t>
            </w:r>
          </w:p>
          <w:p w:rsidR="00C85359" w:rsidRPr="00734602" w:rsidRDefault="00C85359" w:rsidP="005F2F91">
            <w:pPr>
              <w:jc w:val="center"/>
              <w:rPr>
                <w:rFonts w:ascii="Palatino Linotype" w:hAnsi="Palatino Linotype"/>
                <w:b/>
              </w:rPr>
            </w:pPr>
            <w:r w:rsidRPr="00734602">
              <w:rPr>
                <w:rFonts w:ascii="Palatino Linotype" w:hAnsi="Palatino Linotype"/>
                <w:b/>
              </w:rPr>
              <w:t>COMISIONADA</w:t>
            </w:r>
          </w:p>
        </w:tc>
      </w:tr>
    </w:tbl>
    <w:p w:rsidR="00C85359" w:rsidRPr="00734602" w:rsidRDefault="00C85359" w:rsidP="006C3E74">
      <w:pPr>
        <w:jc w:val="both"/>
        <w:rPr>
          <w:rFonts w:ascii="Palatino Linotype" w:eastAsia="Calibri" w:hAnsi="Palatino Linotype" w:cs="Arial"/>
          <w:color w:val="000000" w:themeColor="text1"/>
          <w:sz w:val="20"/>
          <w:szCs w:val="20"/>
        </w:rPr>
      </w:pPr>
    </w:p>
    <w:p w:rsidR="00C85359" w:rsidRPr="00734602" w:rsidRDefault="00C85359" w:rsidP="006C3E74">
      <w:pPr>
        <w:jc w:val="both"/>
        <w:rPr>
          <w:rFonts w:ascii="Palatino Linotype" w:eastAsia="Calibri" w:hAnsi="Palatino Linotype" w:cs="Arial"/>
          <w:color w:val="000000" w:themeColor="text1"/>
          <w:sz w:val="20"/>
          <w:szCs w:val="20"/>
        </w:rPr>
      </w:pPr>
    </w:p>
    <w:p w:rsidR="00C85359" w:rsidRPr="00734602" w:rsidRDefault="00C85359" w:rsidP="006C3E74">
      <w:pPr>
        <w:jc w:val="both"/>
        <w:rPr>
          <w:rFonts w:ascii="Palatino Linotype" w:eastAsia="Calibri" w:hAnsi="Palatino Linotype" w:cs="Arial"/>
          <w:color w:val="000000" w:themeColor="text1"/>
          <w:sz w:val="20"/>
          <w:szCs w:val="20"/>
        </w:rPr>
      </w:pPr>
    </w:p>
    <w:p w:rsidR="00C85359" w:rsidRDefault="00C85359" w:rsidP="006C3E74">
      <w:pPr>
        <w:jc w:val="both"/>
        <w:rPr>
          <w:rFonts w:ascii="Palatino Linotype" w:eastAsia="Calibri" w:hAnsi="Palatino Linotype" w:cs="Arial"/>
          <w:color w:val="000000" w:themeColor="text1"/>
          <w:sz w:val="20"/>
          <w:szCs w:val="20"/>
        </w:rPr>
      </w:pPr>
    </w:p>
    <w:p w:rsidR="00C85359" w:rsidRPr="00734602" w:rsidRDefault="00C85359" w:rsidP="006C3E74">
      <w:pPr>
        <w:jc w:val="both"/>
        <w:rPr>
          <w:rFonts w:ascii="Palatino Linotype" w:eastAsia="Calibri" w:hAnsi="Palatino Linotype" w:cs="Arial"/>
          <w:color w:val="000000" w:themeColor="text1"/>
          <w:sz w:val="20"/>
          <w:szCs w:val="20"/>
        </w:rPr>
      </w:pPr>
    </w:p>
    <w:p w:rsidR="00C85359" w:rsidRDefault="00C85359" w:rsidP="006C3E74">
      <w:pPr>
        <w:jc w:val="both"/>
        <w:rPr>
          <w:rFonts w:ascii="Palatino Linotype" w:eastAsia="Calibri" w:hAnsi="Palatino Linotype" w:cs="Arial"/>
          <w:color w:val="000000" w:themeColor="text1"/>
          <w:sz w:val="20"/>
          <w:szCs w:val="20"/>
        </w:rPr>
      </w:pPr>
    </w:p>
    <w:p w:rsidR="005F2F91" w:rsidRPr="00734602" w:rsidRDefault="005F2F91" w:rsidP="006C3E74">
      <w:pPr>
        <w:jc w:val="both"/>
        <w:rPr>
          <w:rFonts w:ascii="Palatino Linotype" w:eastAsia="Calibri" w:hAnsi="Palatino Linotype" w:cs="Arial"/>
          <w:color w:val="000000" w:themeColor="text1"/>
          <w:sz w:val="20"/>
          <w:szCs w:val="20"/>
        </w:rPr>
      </w:pPr>
    </w:p>
    <w:p w:rsidR="00C85359" w:rsidRPr="005F2F91" w:rsidRDefault="00C85359" w:rsidP="006C3E74">
      <w:pPr>
        <w:jc w:val="both"/>
        <w:rPr>
          <w:rFonts w:ascii="Palatino Linotype" w:eastAsia="Calibri" w:hAnsi="Palatino Linotype" w:cs="Arial"/>
          <w:color w:val="000000" w:themeColor="text1"/>
          <w:sz w:val="20"/>
          <w:szCs w:val="18"/>
        </w:rPr>
      </w:pPr>
      <w:r w:rsidRPr="005F2F91">
        <w:rPr>
          <w:rFonts w:ascii="Palatino Linotype" w:eastAsia="Calibri" w:hAnsi="Palatino Linotype" w:cs="Arial"/>
          <w:color w:val="000000" w:themeColor="text1"/>
          <w:sz w:val="20"/>
          <w:szCs w:val="18"/>
        </w:rPr>
        <w:t>Esta hoja corresponde al voto particular emi</w:t>
      </w:r>
      <w:bookmarkStart w:id="0" w:name="_GoBack"/>
      <w:bookmarkEnd w:id="0"/>
      <w:r w:rsidRPr="005F2F91">
        <w:rPr>
          <w:rFonts w:ascii="Palatino Linotype" w:eastAsia="Calibri" w:hAnsi="Palatino Linotype" w:cs="Arial"/>
          <w:color w:val="000000" w:themeColor="text1"/>
          <w:sz w:val="20"/>
          <w:szCs w:val="18"/>
        </w:rPr>
        <w:t>tido en la resolución del recurso de revisión 0</w:t>
      </w:r>
      <w:r w:rsidR="006C3E74" w:rsidRPr="005F2F91">
        <w:rPr>
          <w:rFonts w:ascii="Palatino Linotype" w:eastAsia="Calibri" w:hAnsi="Palatino Linotype" w:cs="Arial"/>
          <w:color w:val="000000" w:themeColor="text1"/>
          <w:sz w:val="20"/>
          <w:szCs w:val="18"/>
        </w:rPr>
        <w:t>4145</w:t>
      </w:r>
      <w:r w:rsidR="00F35A28" w:rsidRPr="005F2F91">
        <w:rPr>
          <w:rFonts w:ascii="Palatino Linotype" w:eastAsia="Calibri" w:hAnsi="Palatino Linotype" w:cs="Arial"/>
          <w:color w:val="000000" w:themeColor="text1"/>
          <w:sz w:val="20"/>
          <w:szCs w:val="18"/>
        </w:rPr>
        <w:t xml:space="preserve">/INFOEM/IP/RR/2018, aprobada </w:t>
      </w:r>
      <w:r w:rsidRPr="005F2F91">
        <w:rPr>
          <w:rFonts w:ascii="Palatino Linotype" w:eastAsia="Calibri" w:hAnsi="Palatino Linotype" w:cs="Arial"/>
          <w:color w:val="000000" w:themeColor="text1"/>
          <w:sz w:val="20"/>
          <w:szCs w:val="18"/>
        </w:rPr>
        <w:t>el</w:t>
      </w:r>
      <w:r w:rsidR="006C3E74" w:rsidRPr="005F2F91">
        <w:rPr>
          <w:rFonts w:ascii="Palatino Linotype" w:eastAsia="Calibri" w:hAnsi="Palatino Linotype" w:cs="Arial"/>
          <w:color w:val="000000" w:themeColor="text1"/>
          <w:sz w:val="20"/>
          <w:szCs w:val="18"/>
        </w:rPr>
        <w:t xml:space="preserve"> veintitrés de enero de </w:t>
      </w:r>
      <w:r w:rsidRPr="005F2F91">
        <w:rPr>
          <w:rFonts w:ascii="Palatino Linotype" w:eastAsia="Calibri" w:hAnsi="Palatino Linotype" w:cs="Arial"/>
          <w:color w:val="000000" w:themeColor="text1"/>
          <w:sz w:val="20"/>
          <w:szCs w:val="18"/>
        </w:rPr>
        <w:t>dos mil dieci</w:t>
      </w:r>
      <w:r w:rsidR="006C3E74" w:rsidRPr="005F2F91">
        <w:rPr>
          <w:rFonts w:ascii="Palatino Linotype" w:eastAsia="Calibri" w:hAnsi="Palatino Linotype" w:cs="Arial"/>
          <w:color w:val="000000" w:themeColor="text1"/>
          <w:sz w:val="20"/>
          <w:szCs w:val="18"/>
        </w:rPr>
        <w:t>nueve</w:t>
      </w:r>
      <w:r w:rsidRPr="005F2F91">
        <w:rPr>
          <w:rFonts w:ascii="Palatino Linotype" w:eastAsia="Calibri" w:hAnsi="Palatino Linotype" w:cs="Arial"/>
          <w:color w:val="000000" w:themeColor="text1"/>
          <w:sz w:val="20"/>
          <w:szCs w:val="18"/>
        </w:rPr>
        <w:t xml:space="preserve">. </w:t>
      </w:r>
    </w:p>
    <w:p w:rsidR="006C3E74" w:rsidRPr="005F2F91" w:rsidRDefault="006C3E74" w:rsidP="006C3E74">
      <w:pPr>
        <w:jc w:val="both"/>
        <w:rPr>
          <w:rFonts w:ascii="Palatino Linotype" w:eastAsia="Calibri" w:hAnsi="Palatino Linotype" w:cs="Arial"/>
          <w:color w:val="000000" w:themeColor="text1"/>
          <w:sz w:val="10"/>
          <w:szCs w:val="8"/>
        </w:rPr>
      </w:pPr>
    </w:p>
    <w:p w:rsidR="00C23B43" w:rsidRPr="005F2F91" w:rsidRDefault="00C85359" w:rsidP="006C3E74">
      <w:pPr>
        <w:jc w:val="both"/>
        <w:rPr>
          <w:sz w:val="28"/>
        </w:rPr>
      </w:pPr>
      <w:r w:rsidRPr="005F2F91">
        <w:rPr>
          <w:rFonts w:ascii="Palatino Linotype" w:eastAsia="Calibri" w:hAnsi="Palatino Linotype" w:cs="Arial"/>
          <w:color w:val="000000" w:themeColor="text1"/>
          <w:sz w:val="20"/>
          <w:szCs w:val="18"/>
        </w:rPr>
        <w:t>YSM/AMV</w:t>
      </w:r>
    </w:p>
    <w:sectPr w:rsidR="00C23B43" w:rsidRPr="005F2F91" w:rsidSect="00CF17F7">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713" w:rsidRDefault="00636713" w:rsidP="00C85359">
      <w:r>
        <w:separator/>
      </w:r>
    </w:p>
  </w:endnote>
  <w:endnote w:type="continuationSeparator" w:id="0">
    <w:p w:rsidR="00636713" w:rsidRDefault="00636713" w:rsidP="00C8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636713" w:rsidP="003056D9">
    <w:pPr>
      <w:pStyle w:val="Piedepgina"/>
      <w:tabs>
        <w:tab w:val="clear" w:pos="4252"/>
        <w:tab w:val="left" w:pos="4228"/>
      </w:tabs>
      <w:rPr>
        <w:rFonts w:ascii="Palatino Linotype" w:hAnsi="Palatino Linotype" w:cs="Arial"/>
        <w:b/>
        <w:bCs/>
        <w:sz w:val="20"/>
        <w:szCs w:val="20"/>
      </w:rPr>
    </w:pPr>
  </w:p>
  <w:p w:rsidR="006C3E74" w:rsidRDefault="006C3E74" w:rsidP="003056D9">
    <w:pPr>
      <w:pStyle w:val="Piedepgina"/>
      <w:tabs>
        <w:tab w:val="clear" w:pos="4252"/>
        <w:tab w:val="left" w:pos="4228"/>
      </w:tabs>
      <w:rPr>
        <w:rFonts w:ascii="Palatino Linotype" w:hAnsi="Palatino Linotype" w:cs="Arial"/>
        <w:b/>
        <w:bCs/>
        <w:sz w:val="20"/>
        <w:szCs w:val="20"/>
      </w:rPr>
    </w:pPr>
  </w:p>
  <w:p w:rsidR="003056D9" w:rsidRDefault="00636713" w:rsidP="003056D9">
    <w:pPr>
      <w:pStyle w:val="Piedepgina"/>
      <w:tabs>
        <w:tab w:val="clear" w:pos="4252"/>
        <w:tab w:val="left" w:pos="4228"/>
      </w:tabs>
      <w:rPr>
        <w:rFonts w:ascii="Palatino Linotype" w:hAnsi="Palatino Linotype" w:cs="Arial"/>
        <w:b/>
        <w:bCs/>
        <w:sz w:val="20"/>
        <w:szCs w:val="20"/>
      </w:rPr>
    </w:pPr>
  </w:p>
  <w:p w:rsidR="003056D9" w:rsidRDefault="00636713" w:rsidP="003056D9">
    <w:pPr>
      <w:pStyle w:val="Piedepgina"/>
      <w:tabs>
        <w:tab w:val="clear" w:pos="4252"/>
        <w:tab w:val="left" w:pos="4228"/>
      </w:tabs>
      <w:rPr>
        <w:rFonts w:ascii="Palatino Linotype" w:hAnsi="Palatino Linotype" w:cs="Arial"/>
        <w:b/>
        <w:bCs/>
        <w:sz w:val="20"/>
        <w:szCs w:val="20"/>
      </w:rPr>
    </w:pPr>
  </w:p>
  <w:p w:rsidR="00455CB3" w:rsidRDefault="00636713" w:rsidP="000E2B1A">
    <w:pPr>
      <w:pStyle w:val="Piedepgina"/>
      <w:rPr>
        <w:rFonts w:ascii="Palatino Linotype" w:hAnsi="Palatino Linotype" w:cs="Arial"/>
        <w:b/>
        <w:bCs/>
        <w:sz w:val="20"/>
        <w:szCs w:val="20"/>
      </w:rPr>
    </w:pPr>
  </w:p>
  <w:p w:rsidR="003056D9" w:rsidRPr="00F12350" w:rsidRDefault="00AF432E"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F2F91">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F2F91">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713" w:rsidRDefault="00636713" w:rsidP="00C85359">
      <w:r>
        <w:separator/>
      </w:r>
    </w:p>
  </w:footnote>
  <w:footnote w:type="continuationSeparator" w:id="0">
    <w:p w:rsidR="00636713" w:rsidRDefault="00636713" w:rsidP="00C85359">
      <w:r>
        <w:continuationSeparator/>
      </w:r>
    </w:p>
  </w:footnote>
  <w:footnote w:id="1">
    <w:p w:rsidR="00383A3C" w:rsidRPr="00383A3C" w:rsidRDefault="00383A3C" w:rsidP="00383A3C">
      <w:pPr>
        <w:pStyle w:val="Textonotapie"/>
        <w:spacing w:line="276" w:lineRule="auto"/>
        <w:jc w:val="both"/>
        <w:rPr>
          <w:rFonts w:ascii="Palatino Linotype" w:hAnsi="Palatino Linotype" w:cs="Arial"/>
          <w:sz w:val="16"/>
          <w:szCs w:val="16"/>
        </w:rPr>
      </w:pPr>
      <w:r>
        <w:rPr>
          <w:rStyle w:val="Refdenotaalpie"/>
        </w:rPr>
        <w:footnoteRef/>
      </w:r>
      <w:r>
        <w:t xml:space="preserve"> </w:t>
      </w:r>
      <w:r w:rsidRPr="00383A3C">
        <w:rPr>
          <w:rFonts w:ascii="Palatino Linotype" w:hAnsi="Palatino Linotype" w:cs="Arial"/>
          <w:b/>
          <w:sz w:val="16"/>
          <w:szCs w:val="16"/>
        </w:rPr>
        <w:t>Artículo 77.</w:t>
      </w:r>
      <w:r w:rsidRPr="00383A3C">
        <w:rPr>
          <w:rFonts w:ascii="Palatino Linotype" w:hAnsi="Palatino Linotype" w:cs="Arial"/>
          <w:sz w:val="16"/>
          <w:szCs w:val="16"/>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w:t>
      </w:r>
    </w:p>
    <w:p w:rsidR="00383A3C" w:rsidRPr="00383A3C" w:rsidRDefault="00383A3C" w:rsidP="00383A3C">
      <w:pPr>
        <w:pStyle w:val="Textonotapie"/>
        <w:spacing w:line="276" w:lineRule="auto"/>
        <w:jc w:val="both"/>
        <w:rPr>
          <w:rFonts w:ascii="Palatino Linotype" w:hAnsi="Palatino Linotype"/>
          <w:sz w:val="16"/>
          <w:szCs w:val="16"/>
        </w:rPr>
      </w:pPr>
      <w:r w:rsidRPr="00383A3C">
        <w:rPr>
          <w:rFonts w:ascii="Palatino Linotype" w:hAnsi="Palatino Linotype" w:cs="Arial"/>
          <w:sz w:val="16"/>
          <w:szCs w:val="16"/>
        </w:rPr>
        <w:t>La publicación de la información deberá indicar el sujeto obligado encargado de generarla, así como la fecha de su última actualización.</w:t>
      </w:r>
    </w:p>
    <w:p w:rsidR="00383A3C" w:rsidRPr="00383A3C" w:rsidRDefault="00383A3C">
      <w:pPr>
        <w:pStyle w:val="Textonotapie"/>
        <w:rPr>
          <w:lang w:val="es-MX"/>
        </w:rPr>
      </w:pPr>
    </w:p>
  </w:footnote>
  <w:footnote w:id="2">
    <w:p w:rsidR="00C85359" w:rsidRPr="00AB43E3" w:rsidRDefault="00C85359" w:rsidP="00C85359">
      <w:pPr>
        <w:pStyle w:val="Textonotapie"/>
        <w:rPr>
          <w:rFonts w:ascii="Palatino Linotype" w:hAnsi="Palatino Linotype"/>
          <w:i/>
          <w:sz w:val="18"/>
          <w:szCs w:val="18"/>
          <w:lang w:val="es-MX"/>
        </w:rPr>
      </w:pPr>
      <w:r w:rsidRPr="00AB43E3">
        <w:rPr>
          <w:rStyle w:val="Refdenotaalpie"/>
          <w:rFonts w:ascii="Palatino Linotype" w:hAnsi="Palatino Linotype"/>
          <w:i/>
          <w:sz w:val="18"/>
          <w:szCs w:val="18"/>
        </w:rPr>
        <w:footnoteRef/>
      </w:r>
      <w:r w:rsidRPr="00AB43E3">
        <w:rPr>
          <w:rFonts w:ascii="Palatino Linotype" w:hAnsi="Palatino Linotype"/>
          <w:i/>
          <w:sz w:val="18"/>
          <w:szCs w:val="18"/>
        </w:rPr>
        <w:t xml:space="preserve"> </w:t>
      </w:r>
      <w:r w:rsidRPr="00AB43E3">
        <w:rPr>
          <w:rFonts w:ascii="Palatino Linotype" w:hAnsi="Palatino Linotype"/>
          <w:i/>
          <w:sz w:val="18"/>
          <w:szCs w:val="18"/>
          <w:lang w:val="es-MX"/>
        </w:rPr>
        <w:t>Crear un documento a modo que satisfaga los intereses de la solicitante.</w:t>
      </w:r>
    </w:p>
    <w:p w:rsidR="00C85359" w:rsidRPr="00AB43E3" w:rsidRDefault="00C85359" w:rsidP="00C85359">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63671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232" w:rsidRDefault="00AF432E"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539C2909" wp14:editId="28DF3389">
          <wp:simplePos x="0" y="0"/>
          <wp:positionH relativeFrom="column">
            <wp:posOffset>-631825</wp:posOffset>
          </wp:positionH>
          <wp:positionV relativeFrom="paragraph">
            <wp:posOffset>-357979</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6C3E74" w:rsidRDefault="006C3E74" w:rsidP="0034309A">
    <w:pPr>
      <w:pStyle w:val="Encabezado"/>
      <w:tabs>
        <w:tab w:val="clear" w:pos="4252"/>
        <w:tab w:val="clear" w:pos="8504"/>
        <w:tab w:val="left" w:pos="2326"/>
      </w:tabs>
      <w:jc w:val="right"/>
      <w:rPr>
        <w:rFonts w:ascii="Palatino Linotype" w:hAnsi="Palatino Linotype" w:cs="Arial"/>
        <w:sz w:val="20"/>
        <w:szCs w:val="20"/>
      </w:rPr>
    </w:pPr>
  </w:p>
  <w:p w:rsidR="006C3E74" w:rsidRDefault="006C3E74"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AF432E"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634485" w:rsidRDefault="00AF432E"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C85359">
      <w:rPr>
        <w:rFonts w:ascii="Palatino Linotype" w:hAnsi="Palatino Linotype" w:cs="Arial"/>
        <w:sz w:val="20"/>
        <w:szCs w:val="20"/>
      </w:rPr>
      <w:t>4145</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EB7480" w:rsidRDefault="005F2F91" w:rsidP="0034309A">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7.4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63671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9776D"/>
    <w:multiLevelType w:val="hybridMultilevel"/>
    <w:tmpl w:val="CCFEB6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A342104"/>
    <w:multiLevelType w:val="hybridMultilevel"/>
    <w:tmpl w:val="DB1C5334"/>
    <w:lvl w:ilvl="0" w:tplc="B1021610">
      <w:start w:val="1"/>
      <w:numFmt w:val="lowerLetter"/>
      <w:lvlText w:val="%1)"/>
      <w:lvlJc w:val="left"/>
      <w:pPr>
        <w:ind w:left="1125" w:hanging="405"/>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59"/>
    <w:rsid w:val="0029666C"/>
    <w:rsid w:val="00383A3C"/>
    <w:rsid w:val="005F2F91"/>
    <w:rsid w:val="006225B6"/>
    <w:rsid w:val="00636713"/>
    <w:rsid w:val="00665C6C"/>
    <w:rsid w:val="006C3E74"/>
    <w:rsid w:val="00734602"/>
    <w:rsid w:val="00AF432E"/>
    <w:rsid w:val="00C23B43"/>
    <w:rsid w:val="00C85359"/>
    <w:rsid w:val="00C9714C"/>
    <w:rsid w:val="00CF17F7"/>
    <w:rsid w:val="00ED216B"/>
    <w:rsid w:val="00ED31DB"/>
    <w:rsid w:val="00F35A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0CBEB4-0CFB-453F-872C-846363F0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35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C85359"/>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8535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8535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5359"/>
    <w:rPr>
      <w:rFonts w:eastAsiaTheme="minorEastAsia"/>
      <w:sz w:val="24"/>
      <w:szCs w:val="24"/>
      <w:lang w:val="es-ES_tradnl" w:eastAsia="es-ES"/>
    </w:rPr>
  </w:style>
  <w:style w:type="paragraph" w:styleId="Piedepgina">
    <w:name w:val="footer"/>
    <w:basedOn w:val="Normal"/>
    <w:link w:val="PiedepginaCar"/>
    <w:uiPriority w:val="99"/>
    <w:unhideWhenUsed/>
    <w:rsid w:val="00C8535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535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85359"/>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85359"/>
    <w:rPr>
      <w:rFonts w:eastAsiaTheme="minorEastAsia"/>
      <w:sz w:val="24"/>
      <w:szCs w:val="24"/>
      <w:lang w:val="es-ES_tradnl" w:eastAsia="es-ES"/>
    </w:rPr>
  </w:style>
  <w:style w:type="paragraph" w:customStyle="1" w:styleId="m7465406065458690624gmail-msolistparagraph">
    <w:name w:val="m_7465406065458690624gmail-msolistparagraph"/>
    <w:basedOn w:val="Normal"/>
    <w:rsid w:val="00C85359"/>
    <w:pPr>
      <w:spacing w:before="100" w:beforeAutospacing="1" w:after="100" w:afterAutospacing="1"/>
    </w:pPr>
    <w:rPr>
      <w:lang w:val="es-MX" w:eastAsia="es-MX"/>
    </w:rPr>
  </w:style>
  <w:style w:type="paragraph" w:styleId="Textonotapie">
    <w:name w:val="footnote text"/>
    <w:basedOn w:val="Normal"/>
    <w:link w:val="TextonotapieCar"/>
    <w:uiPriority w:val="99"/>
    <w:semiHidden/>
    <w:unhideWhenUsed/>
    <w:rsid w:val="00C85359"/>
    <w:rPr>
      <w:sz w:val="20"/>
      <w:szCs w:val="20"/>
    </w:rPr>
  </w:style>
  <w:style w:type="character" w:customStyle="1" w:styleId="TextonotapieCar">
    <w:name w:val="Texto nota pie Car"/>
    <w:basedOn w:val="Fuentedeprrafopredeter"/>
    <w:link w:val="Textonotapie"/>
    <w:uiPriority w:val="99"/>
    <w:semiHidden/>
    <w:rsid w:val="00C8535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85359"/>
    <w:rPr>
      <w:vertAlign w:val="superscript"/>
    </w:rPr>
  </w:style>
  <w:style w:type="paragraph" w:styleId="Textodeglobo">
    <w:name w:val="Balloon Text"/>
    <w:basedOn w:val="Normal"/>
    <w:link w:val="TextodegloboCar"/>
    <w:uiPriority w:val="99"/>
    <w:semiHidden/>
    <w:unhideWhenUsed/>
    <w:rsid w:val="006C3E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E7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E64E-FE52-41B2-82B5-8968EE1A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2597</Words>
  <Characters>14284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2019-01-28T20:41:00Z</cp:lastPrinted>
  <dcterms:created xsi:type="dcterms:W3CDTF">2019-01-28T17:20:00Z</dcterms:created>
  <dcterms:modified xsi:type="dcterms:W3CDTF">2019-02-14T19:09:00Z</dcterms:modified>
</cp:coreProperties>
</file>